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71B" w:rsidRDefault="00CF771B" w:rsidP="00CF771B">
      <w:pPr>
        <w:jc w:val="center"/>
      </w:pPr>
    </w:p>
    <w:p w:rsidR="001F2F41" w:rsidRDefault="00444B55" w:rsidP="001F2F41">
      <w:pPr>
        <w:jc w:val="center"/>
        <w:rPr>
          <w:rFonts w:ascii="Arial" w:hAnsi="Arial" w:cs="Arial"/>
          <w:b/>
          <w:sz w:val="24"/>
        </w:rPr>
      </w:pPr>
      <w:sdt>
        <w:sdtPr>
          <w:rPr>
            <w:rFonts w:ascii="Arial Narrow" w:eastAsiaTheme="majorEastAsia" w:hAnsi="Arial Narrow" w:cstheme="majorBidi"/>
            <w:caps/>
            <w:highlight w:val="yellow"/>
          </w:rPr>
          <w:alias w:val="Empresa"/>
          <w:id w:val="15524243"/>
          <w:showingPlcHdr/>
          <w:dataBinding w:prefixMappings="xmlns:ns0='http://schemas.openxmlformats.org/officeDocument/2006/extended-properties'" w:xpath="/ns0:Properties[1]/ns0:Company[1]" w:storeItemID="{6668398D-A668-4E3E-A5EB-62B293D839F1}"/>
          <w:text/>
        </w:sdtPr>
        <w:sdtEndPr>
          <w:rPr>
            <w:rFonts w:cs="Arial"/>
            <w:b/>
            <w:color w:val="000000" w:themeColor="text1"/>
            <w:sz w:val="36"/>
            <w:szCs w:val="36"/>
            <w:highlight w:val="none"/>
          </w:rPr>
        </w:sdtEndPr>
        <w:sdtContent>
          <w:r w:rsidR="001F2F41">
            <w:rPr>
              <w:rFonts w:ascii="Arial Narrow" w:eastAsiaTheme="majorEastAsia" w:hAnsi="Arial Narrow" w:cstheme="majorBidi"/>
              <w:caps/>
              <w:highlight w:val="yellow"/>
            </w:rPr>
            <w:t xml:space="preserve">     </w:t>
          </w:r>
        </w:sdtContent>
      </w:sdt>
      <w:r w:rsidR="001F2F41" w:rsidRPr="00347515">
        <w:rPr>
          <w:rFonts w:ascii="Arial Narrow" w:eastAsiaTheme="majorEastAsia" w:hAnsi="Arial Narrow" w:cstheme="majorBidi"/>
          <w:caps/>
          <w:highlight w:val="yellow"/>
        </w:rPr>
        <w:t xml:space="preserve"> </w:t>
      </w:r>
      <w:sdt>
        <w:sdtPr>
          <w:rPr>
            <w:rFonts w:ascii="Arial Narrow" w:eastAsiaTheme="majorEastAsia" w:hAnsi="Arial Narrow" w:cstheme="majorBidi"/>
            <w:caps/>
            <w:highlight w:val="yellow"/>
          </w:rPr>
          <w:alias w:val="Empresa"/>
          <w:id w:val="2029985334"/>
          <w:showingPlcHdr/>
          <w:dataBinding w:prefixMappings="xmlns:ns0='http://schemas.openxmlformats.org/officeDocument/2006/extended-properties'" w:xpath="/ns0:Properties[1]/ns0:Company[1]" w:storeItemID="{6668398D-A668-4E3E-A5EB-62B293D839F1}"/>
          <w:text/>
        </w:sdtPr>
        <w:sdtEndPr>
          <w:rPr>
            <w:rFonts w:cs="Arial"/>
            <w:b/>
            <w:color w:val="000000" w:themeColor="text1"/>
            <w:sz w:val="36"/>
            <w:szCs w:val="36"/>
            <w:highlight w:val="none"/>
          </w:rPr>
        </w:sdtEndPr>
        <w:sdtContent>
          <w:r w:rsidR="001F2F41">
            <w:rPr>
              <w:rFonts w:ascii="Arial Narrow" w:eastAsiaTheme="majorEastAsia" w:hAnsi="Arial Narrow" w:cstheme="majorBidi"/>
              <w:caps/>
              <w:highlight w:val="yellow"/>
            </w:rPr>
            <w:t xml:space="preserve">     </w:t>
          </w:r>
        </w:sdtContent>
      </w:sdt>
      <w:r w:rsidR="001F2F41" w:rsidRPr="00347515">
        <w:rPr>
          <w:rFonts w:ascii="Arial Narrow" w:eastAsiaTheme="majorEastAsia" w:hAnsi="Arial Narrow" w:cstheme="majorBidi"/>
          <w:caps/>
          <w:highlight w:val="yellow"/>
        </w:rPr>
        <w:t xml:space="preserve"> </w:t>
      </w:r>
      <w:sdt>
        <w:sdtPr>
          <w:rPr>
            <w:rFonts w:ascii="Arial Narrow" w:eastAsiaTheme="majorEastAsia" w:hAnsi="Arial Narrow" w:cstheme="majorBidi"/>
            <w:caps/>
            <w:highlight w:val="yellow"/>
          </w:rPr>
          <w:alias w:val="Empresa"/>
          <w:id w:val="-1660381369"/>
          <w:showingPlcHdr/>
          <w:dataBinding w:prefixMappings="xmlns:ns0='http://schemas.openxmlformats.org/officeDocument/2006/extended-properties'" w:xpath="/ns0:Properties[1]/ns0:Company[1]" w:storeItemID="{6668398D-A668-4E3E-A5EB-62B293D839F1}"/>
          <w:text/>
        </w:sdtPr>
        <w:sdtEndPr>
          <w:rPr>
            <w:rFonts w:cs="Arial"/>
            <w:b/>
            <w:color w:val="000000" w:themeColor="text1"/>
            <w:sz w:val="36"/>
            <w:szCs w:val="36"/>
            <w:highlight w:val="none"/>
          </w:rPr>
        </w:sdtEndPr>
        <w:sdtContent>
          <w:r w:rsidR="001F2F41">
            <w:rPr>
              <w:rFonts w:ascii="Arial Narrow" w:eastAsiaTheme="majorEastAsia" w:hAnsi="Arial Narrow" w:cstheme="majorBidi"/>
              <w:caps/>
              <w:highlight w:val="yellow"/>
            </w:rPr>
            <w:t xml:space="preserve">     </w:t>
          </w:r>
        </w:sdtContent>
      </w:sdt>
      <w:r w:rsidR="001F2F41" w:rsidRPr="00347515">
        <w:rPr>
          <w:rFonts w:ascii="Arial Narrow" w:eastAsiaTheme="majorEastAsia" w:hAnsi="Arial Narrow" w:cstheme="majorBidi"/>
          <w:caps/>
          <w:highlight w:val="yellow"/>
        </w:rPr>
        <w:t xml:space="preserve"> </w:t>
      </w:r>
      <w:sdt>
        <w:sdtPr>
          <w:rPr>
            <w:rFonts w:ascii="Arial Narrow" w:eastAsiaTheme="majorEastAsia" w:hAnsi="Arial Narrow" w:cstheme="majorBidi"/>
            <w:caps/>
            <w:highlight w:val="yellow"/>
          </w:rPr>
          <w:alias w:val="Empresa"/>
          <w:id w:val="251401262"/>
          <w:showingPlcHdr/>
          <w:dataBinding w:prefixMappings="xmlns:ns0='http://schemas.openxmlformats.org/officeDocument/2006/extended-properties'" w:xpath="/ns0:Properties[1]/ns0:Company[1]" w:storeItemID="{6668398D-A668-4E3E-A5EB-62B293D839F1}"/>
          <w:text/>
        </w:sdtPr>
        <w:sdtEndPr>
          <w:rPr>
            <w:rFonts w:cs="Arial"/>
            <w:b/>
            <w:color w:val="000000" w:themeColor="text1"/>
            <w:sz w:val="36"/>
            <w:szCs w:val="36"/>
            <w:highlight w:val="none"/>
          </w:rPr>
        </w:sdtEndPr>
        <w:sdtContent>
          <w:r w:rsidR="001F2F41">
            <w:rPr>
              <w:rFonts w:ascii="Arial Narrow" w:eastAsiaTheme="majorEastAsia" w:hAnsi="Arial Narrow" w:cstheme="majorBidi"/>
              <w:caps/>
              <w:highlight w:val="yellow"/>
            </w:rPr>
            <w:t xml:space="preserve">     </w:t>
          </w:r>
        </w:sdtContent>
      </w:sdt>
      <w:r w:rsidR="001F2F41" w:rsidRPr="00347515">
        <w:rPr>
          <w:rFonts w:ascii="Arial Narrow" w:eastAsiaTheme="majorEastAsia" w:hAnsi="Arial Narrow" w:cstheme="majorBidi"/>
          <w:caps/>
          <w:highlight w:val="yellow"/>
        </w:rPr>
        <w:t xml:space="preserve"> </w:t>
      </w:r>
      <w:sdt>
        <w:sdtPr>
          <w:rPr>
            <w:rFonts w:ascii="Arial Narrow" w:eastAsiaTheme="majorEastAsia" w:hAnsi="Arial Narrow" w:cstheme="majorBidi"/>
            <w:caps/>
            <w:highlight w:val="yellow"/>
          </w:rPr>
          <w:alias w:val="Empresa"/>
          <w:id w:val="16593390"/>
          <w:showingPlcHdr/>
          <w:dataBinding w:prefixMappings="xmlns:ns0='http://schemas.openxmlformats.org/officeDocument/2006/extended-properties'" w:xpath="/ns0:Properties[1]/ns0:Company[1]" w:storeItemID="{6668398D-A668-4E3E-A5EB-62B293D839F1}"/>
          <w:text/>
        </w:sdtPr>
        <w:sdtEndPr>
          <w:rPr>
            <w:rFonts w:cs="Arial"/>
            <w:b/>
            <w:color w:val="000000" w:themeColor="text1"/>
            <w:sz w:val="36"/>
            <w:szCs w:val="36"/>
            <w:highlight w:val="none"/>
          </w:rPr>
        </w:sdtEndPr>
        <w:sdtContent>
          <w:r w:rsidR="001F2F41">
            <w:rPr>
              <w:rFonts w:ascii="Arial Narrow" w:eastAsiaTheme="majorEastAsia" w:hAnsi="Arial Narrow" w:cstheme="majorBidi"/>
              <w:caps/>
              <w:highlight w:val="yellow"/>
            </w:rPr>
            <w:t xml:space="preserve">     </w:t>
          </w:r>
        </w:sdtContent>
      </w:sdt>
      <w:r w:rsidR="001F2F41" w:rsidRPr="00347515">
        <w:rPr>
          <w:rFonts w:ascii="Arial Narrow" w:eastAsiaTheme="majorEastAsia" w:hAnsi="Arial Narrow" w:cstheme="majorBidi"/>
          <w:caps/>
          <w:highlight w:val="yellow"/>
        </w:rPr>
        <w:t xml:space="preserve"> </w:t>
      </w:r>
      <w:sdt>
        <w:sdtPr>
          <w:rPr>
            <w:rFonts w:ascii="Arial Narrow" w:eastAsiaTheme="majorEastAsia" w:hAnsi="Arial Narrow" w:cstheme="majorBidi"/>
            <w:caps/>
            <w:highlight w:val="yellow"/>
          </w:rPr>
          <w:alias w:val="Empresa"/>
          <w:id w:val="-728923856"/>
          <w:showingPlcHdr/>
          <w:dataBinding w:prefixMappings="xmlns:ns0='http://schemas.openxmlformats.org/officeDocument/2006/extended-properties'" w:xpath="/ns0:Properties[1]/ns0:Company[1]" w:storeItemID="{6668398D-A668-4E3E-A5EB-62B293D839F1}"/>
          <w:text/>
        </w:sdtPr>
        <w:sdtEndPr>
          <w:rPr>
            <w:rFonts w:cs="Arial"/>
            <w:b/>
            <w:color w:val="000000" w:themeColor="text1"/>
            <w:sz w:val="36"/>
            <w:szCs w:val="36"/>
            <w:highlight w:val="none"/>
          </w:rPr>
        </w:sdtEndPr>
        <w:sdtContent>
          <w:r w:rsidR="001F2F41">
            <w:rPr>
              <w:rFonts w:ascii="Arial Narrow" w:eastAsiaTheme="majorEastAsia" w:hAnsi="Arial Narrow" w:cstheme="majorBidi"/>
              <w:caps/>
              <w:highlight w:val="yellow"/>
            </w:rPr>
            <w:t xml:space="preserve">     </w:t>
          </w:r>
        </w:sdtContent>
      </w:sdt>
    </w:p>
    <w:p w:rsidR="001F2F41" w:rsidRDefault="001F2F41" w:rsidP="001F2F41">
      <w:pPr>
        <w:jc w:val="center"/>
        <w:rPr>
          <w:rFonts w:ascii="Arial" w:hAnsi="Arial" w:cs="Arial"/>
          <w:b/>
          <w:sz w:val="32"/>
          <w:szCs w:val="32"/>
        </w:rPr>
      </w:pPr>
      <w:r w:rsidRPr="00347515">
        <w:rPr>
          <w:rFonts w:ascii="Arial" w:hAnsi="Arial" w:cs="Arial"/>
          <w:b/>
          <w:sz w:val="32"/>
          <w:szCs w:val="32"/>
        </w:rPr>
        <w:t>FUNDO MUNICIPAL DE PREVIDENCIA SOCIAL DOS SERVIDORES DO MUNICIPIO DE JACIARA-MT</w:t>
      </w:r>
    </w:p>
    <w:p w:rsidR="001F2F41" w:rsidRPr="00347515" w:rsidRDefault="001F2F41" w:rsidP="001F2F41">
      <w:pPr>
        <w:jc w:val="center"/>
        <w:rPr>
          <w:rFonts w:ascii="Arial" w:hAnsi="Arial" w:cs="Arial"/>
          <w:b/>
          <w:sz w:val="32"/>
          <w:szCs w:val="32"/>
        </w:rPr>
      </w:pPr>
      <w:r>
        <w:rPr>
          <w:rFonts w:ascii="Arial" w:hAnsi="Arial" w:cs="Arial"/>
          <w:b/>
          <w:sz w:val="32"/>
          <w:szCs w:val="32"/>
        </w:rPr>
        <w:t>PREV-JACI</w:t>
      </w:r>
    </w:p>
    <w:p w:rsidR="00CF771B" w:rsidRDefault="00CF771B" w:rsidP="00CF771B">
      <w:pPr>
        <w:jc w:val="center"/>
        <w:rPr>
          <w:rFonts w:ascii="Arial" w:hAnsi="Arial" w:cs="Arial"/>
          <w:b/>
          <w:sz w:val="24"/>
        </w:rPr>
      </w:pPr>
    </w:p>
    <w:p w:rsidR="00CF771B" w:rsidRDefault="00CF771B" w:rsidP="00CF771B">
      <w:pPr>
        <w:jc w:val="center"/>
        <w:rPr>
          <w:rFonts w:ascii="Arial" w:hAnsi="Arial" w:cs="Arial"/>
          <w:b/>
          <w:sz w:val="24"/>
        </w:rPr>
      </w:pPr>
    </w:p>
    <w:p w:rsidR="00CF771B" w:rsidRDefault="00CF771B" w:rsidP="00CF771B">
      <w:pPr>
        <w:jc w:val="center"/>
        <w:rPr>
          <w:rFonts w:ascii="Arial" w:hAnsi="Arial" w:cs="Arial"/>
          <w:b/>
          <w:sz w:val="24"/>
        </w:rPr>
      </w:pPr>
    </w:p>
    <w:p w:rsidR="00CF771B" w:rsidRDefault="00CF771B" w:rsidP="00CF771B">
      <w:pPr>
        <w:jc w:val="center"/>
        <w:rPr>
          <w:rFonts w:ascii="Arial" w:hAnsi="Arial" w:cs="Arial"/>
          <w:b/>
          <w:sz w:val="24"/>
        </w:rPr>
      </w:pPr>
    </w:p>
    <w:p w:rsidR="00CF771B" w:rsidRDefault="00CF771B" w:rsidP="00CF771B">
      <w:pPr>
        <w:jc w:val="center"/>
        <w:rPr>
          <w:rFonts w:ascii="Arial" w:hAnsi="Arial" w:cs="Arial"/>
          <w:b/>
          <w:sz w:val="56"/>
          <w:szCs w:val="56"/>
        </w:rPr>
      </w:pPr>
      <w:r>
        <w:rPr>
          <w:rFonts w:ascii="Arial" w:hAnsi="Arial" w:cs="Arial"/>
          <w:b/>
          <w:sz w:val="56"/>
          <w:szCs w:val="56"/>
        </w:rPr>
        <w:t>POLÍTICA ANUAL DE INVESTIMENTOS</w:t>
      </w:r>
    </w:p>
    <w:p w:rsidR="00CF771B" w:rsidRDefault="00CF771B" w:rsidP="00CF771B">
      <w:pPr>
        <w:jc w:val="center"/>
        <w:rPr>
          <w:rFonts w:ascii="Arial" w:hAnsi="Arial" w:cs="Arial"/>
          <w:b/>
          <w:sz w:val="56"/>
          <w:szCs w:val="56"/>
        </w:rPr>
      </w:pPr>
    </w:p>
    <w:p w:rsidR="00CF771B" w:rsidRDefault="00CF771B" w:rsidP="00CF771B">
      <w:pPr>
        <w:jc w:val="center"/>
        <w:rPr>
          <w:rFonts w:ascii="Arial" w:hAnsi="Arial" w:cs="Arial"/>
          <w:b/>
          <w:sz w:val="56"/>
          <w:szCs w:val="56"/>
        </w:rPr>
      </w:pPr>
    </w:p>
    <w:p w:rsidR="00CF771B" w:rsidRDefault="00592D05" w:rsidP="00CF771B">
      <w:pPr>
        <w:jc w:val="center"/>
        <w:rPr>
          <w:rFonts w:ascii="Arial" w:hAnsi="Arial" w:cs="Arial"/>
          <w:sz w:val="44"/>
          <w:szCs w:val="44"/>
        </w:rPr>
      </w:pPr>
      <w:r>
        <w:rPr>
          <w:rFonts w:ascii="Arial" w:hAnsi="Arial" w:cs="Arial"/>
          <w:sz w:val="44"/>
          <w:szCs w:val="44"/>
        </w:rPr>
        <w:t>P.A.I. 2021</w:t>
      </w:r>
    </w:p>
    <w:p w:rsidR="00CF771B" w:rsidRDefault="00CF771B" w:rsidP="00CF771B">
      <w:pPr>
        <w:jc w:val="center"/>
        <w:rPr>
          <w:rFonts w:ascii="Arial" w:hAnsi="Arial" w:cs="Arial"/>
          <w:sz w:val="44"/>
          <w:szCs w:val="44"/>
        </w:rPr>
      </w:pPr>
    </w:p>
    <w:p w:rsidR="00CF771B" w:rsidRDefault="00CF771B" w:rsidP="00CF771B">
      <w:pPr>
        <w:jc w:val="center"/>
        <w:rPr>
          <w:rFonts w:ascii="Arial" w:hAnsi="Arial" w:cs="Arial"/>
          <w:sz w:val="44"/>
          <w:szCs w:val="44"/>
        </w:rPr>
      </w:pPr>
    </w:p>
    <w:p w:rsidR="00CF771B" w:rsidRDefault="00CF771B" w:rsidP="00CF771B">
      <w:pPr>
        <w:jc w:val="center"/>
        <w:rPr>
          <w:rFonts w:ascii="Arial" w:hAnsi="Arial" w:cs="Arial"/>
          <w:sz w:val="44"/>
          <w:szCs w:val="44"/>
        </w:rPr>
      </w:pPr>
    </w:p>
    <w:p w:rsidR="00CF771B" w:rsidRDefault="00CF771B" w:rsidP="00CF771B">
      <w:pPr>
        <w:jc w:val="center"/>
        <w:rPr>
          <w:rFonts w:ascii="Arial" w:hAnsi="Arial" w:cs="Arial"/>
          <w:sz w:val="44"/>
          <w:szCs w:val="44"/>
        </w:rPr>
      </w:pPr>
    </w:p>
    <w:p w:rsidR="00CF771B" w:rsidRDefault="00CF771B" w:rsidP="00CF771B">
      <w:pPr>
        <w:jc w:val="center"/>
        <w:rPr>
          <w:rFonts w:ascii="Arial" w:hAnsi="Arial" w:cs="Arial"/>
          <w:sz w:val="44"/>
          <w:szCs w:val="44"/>
        </w:rPr>
      </w:pPr>
    </w:p>
    <w:p w:rsidR="00CF771B" w:rsidRDefault="00CF771B" w:rsidP="00CF771B">
      <w:pPr>
        <w:jc w:val="center"/>
        <w:rPr>
          <w:rFonts w:ascii="Arial" w:hAnsi="Arial" w:cs="Arial"/>
          <w:sz w:val="44"/>
          <w:szCs w:val="44"/>
        </w:rPr>
      </w:pPr>
    </w:p>
    <w:p w:rsidR="00CF771B" w:rsidRDefault="00CF771B" w:rsidP="00CF771B">
      <w:pPr>
        <w:jc w:val="center"/>
        <w:rPr>
          <w:rFonts w:ascii="Arial" w:hAnsi="Arial" w:cs="Arial"/>
          <w:sz w:val="44"/>
          <w:szCs w:val="44"/>
        </w:rPr>
      </w:pPr>
    </w:p>
    <w:p w:rsidR="00F40954" w:rsidRDefault="00F40954" w:rsidP="00CF771B">
      <w:pPr>
        <w:jc w:val="center"/>
        <w:rPr>
          <w:rFonts w:ascii="Arial" w:hAnsi="Arial" w:cs="Arial"/>
          <w:sz w:val="44"/>
          <w:szCs w:val="44"/>
        </w:rPr>
      </w:pPr>
    </w:p>
    <w:p w:rsidR="00CF771B" w:rsidRDefault="00CF771B" w:rsidP="00CF771B">
      <w:pPr>
        <w:jc w:val="center"/>
        <w:rPr>
          <w:rFonts w:ascii="Arial" w:hAnsi="Arial" w:cs="Arial"/>
          <w:sz w:val="44"/>
          <w:szCs w:val="44"/>
        </w:rPr>
      </w:pPr>
    </w:p>
    <w:sdt>
      <w:sdtPr>
        <w:rPr>
          <w:rFonts w:asciiTheme="minorHAnsi" w:eastAsiaTheme="minorHAnsi" w:hAnsiTheme="minorHAnsi" w:cstheme="minorBidi"/>
          <w:b w:val="0"/>
          <w:bCs w:val="0"/>
          <w:color w:val="auto"/>
          <w:sz w:val="22"/>
          <w:szCs w:val="22"/>
        </w:rPr>
        <w:id w:val="690531483"/>
        <w:docPartObj>
          <w:docPartGallery w:val="Table of Contents"/>
          <w:docPartUnique/>
        </w:docPartObj>
      </w:sdtPr>
      <w:sdtEndPr>
        <w:rPr>
          <w:rFonts w:ascii="Calibri" w:eastAsia="Calibri" w:hAnsi="Calibri" w:cs="Times New Roman"/>
        </w:rPr>
      </w:sdtEndPr>
      <w:sdtContent>
        <w:p w:rsidR="00CF771B" w:rsidRPr="00C55771" w:rsidRDefault="00CF771B" w:rsidP="00CF771B">
          <w:pPr>
            <w:pStyle w:val="CabealhodoSumrio"/>
            <w:rPr>
              <w:b w:val="0"/>
            </w:rPr>
          </w:pPr>
        </w:p>
        <w:p w:rsidR="00CF771B" w:rsidRDefault="000834E5" w:rsidP="00CF771B">
          <w:pPr>
            <w:pStyle w:val="Sumrio1"/>
            <w:tabs>
              <w:tab w:val="right" w:leader="dot" w:pos="8494"/>
            </w:tabs>
            <w:rPr>
              <w:rFonts w:eastAsiaTheme="minorEastAsia"/>
              <w:noProof/>
              <w:lang w:eastAsia="pt-BR"/>
            </w:rPr>
          </w:pPr>
          <w:r w:rsidRPr="00C55771">
            <w:fldChar w:fldCharType="begin"/>
          </w:r>
          <w:r w:rsidR="00CF771B" w:rsidRPr="00C55771">
            <w:instrText xml:space="preserve"> TOC \o "1-3" \h \z \u </w:instrText>
          </w:r>
          <w:r w:rsidRPr="00C55771">
            <w:fldChar w:fldCharType="separate"/>
          </w:r>
          <w:hyperlink w:anchor="_Toc20133920" w:history="1">
            <w:r w:rsidR="00CF771B" w:rsidRPr="00320B71">
              <w:rPr>
                <w:rStyle w:val="Hyperlink"/>
                <w:rFonts w:ascii="Arial" w:hAnsi="Arial" w:cs="Arial"/>
                <w:noProof/>
              </w:rPr>
              <w:t>1 - INTRODUÇÃO</w:t>
            </w:r>
            <w:r w:rsidR="00CF771B">
              <w:rPr>
                <w:noProof/>
                <w:webHidden/>
              </w:rPr>
              <w:tab/>
            </w:r>
            <w:r>
              <w:rPr>
                <w:noProof/>
                <w:webHidden/>
              </w:rPr>
              <w:fldChar w:fldCharType="begin"/>
            </w:r>
            <w:r w:rsidR="00CF771B">
              <w:rPr>
                <w:noProof/>
                <w:webHidden/>
              </w:rPr>
              <w:instrText xml:space="preserve"> PAGEREF _Toc20133920 \h </w:instrText>
            </w:r>
            <w:r>
              <w:rPr>
                <w:noProof/>
                <w:webHidden/>
              </w:rPr>
            </w:r>
            <w:r>
              <w:rPr>
                <w:noProof/>
                <w:webHidden/>
              </w:rPr>
              <w:fldChar w:fldCharType="separate"/>
            </w:r>
            <w:r w:rsidR="003218D3">
              <w:rPr>
                <w:noProof/>
                <w:webHidden/>
              </w:rPr>
              <w:t>3</w:t>
            </w:r>
            <w:r>
              <w:rPr>
                <w:noProof/>
                <w:webHidden/>
              </w:rPr>
              <w:fldChar w:fldCharType="end"/>
            </w:r>
          </w:hyperlink>
        </w:p>
        <w:p w:rsidR="00CF771B" w:rsidRDefault="00444B55" w:rsidP="00CF771B">
          <w:pPr>
            <w:pStyle w:val="Sumrio1"/>
            <w:tabs>
              <w:tab w:val="right" w:leader="dot" w:pos="8494"/>
            </w:tabs>
            <w:rPr>
              <w:rFonts w:eastAsiaTheme="minorEastAsia"/>
              <w:noProof/>
              <w:lang w:eastAsia="pt-BR"/>
            </w:rPr>
          </w:pPr>
          <w:hyperlink w:anchor="_Toc20133921" w:history="1">
            <w:r w:rsidR="00CF771B" w:rsidRPr="00320B71">
              <w:rPr>
                <w:rStyle w:val="Hyperlink"/>
                <w:rFonts w:ascii="Arial" w:hAnsi="Arial" w:cs="Arial"/>
                <w:noProof/>
              </w:rPr>
              <w:t>2 - OBJETIVO DA GESTÃO</w:t>
            </w:r>
            <w:r w:rsidR="00CF771B">
              <w:rPr>
                <w:noProof/>
                <w:webHidden/>
              </w:rPr>
              <w:tab/>
            </w:r>
            <w:r w:rsidR="000834E5">
              <w:rPr>
                <w:noProof/>
                <w:webHidden/>
              </w:rPr>
              <w:fldChar w:fldCharType="begin"/>
            </w:r>
            <w:r w:rsidR="00CF771B">
              <w:rPr>
                <w:noProof/>
                <w:webHidden/>
              </w:rPr>
              <w:instrText xml:space="preserve"> PAGEREF _Toc20133921 \h </w:instrText>
            </w:r>
            <w:r w:rsidR="000834E5">
              <w:rPr>
                <w:noProof/>
                <w:webHidden/>
              </w:rPr>
            </w:r>
            <w:r w:rsidR="000834E5">
              <w:rPr>
                <w:noProof/>
                <w:webHidden/>
              </w:rPr>
              <w:fldChar w:fldCharType="separate"/>
            </w:r>
            <w:r w:rsidR="003218D3">
              <w:rPr>
                <w:noProof/>
                <w:webHidden/>
              </w:rPr>
              <w:t>3</w:t>
            </w:r>
            <w:r w:rsidR="000834E5">
              <w:rPr>
                <w:noProof/>
                <w:webHidden/>
              </w:rPr>
              <w:fldChar w:fldCharType="end"/>
            </w:r>
          </w:hyperlink>
        </w:p>
        <w:p w:rsidR="00CF771B" w:rsidRDefault="00444B55" w:rsidP="00CF771B">
          <w:pPr>
            <w:pStyle w:val="Sumrio1"/>
            <w:tabs>
              <w:tab w:val="right" w:leader="dot" w:pos="8494"/>
            </w:tabs>
            <w:rPr>
              <w:rFonts w:eastAsiaTheme="minorEastAsia"/>
              <w:noProof/>
              <w:lang w:eastAsia="pt-BR"/>
            </w:rPr>
          </w:pPr>
          <w:hyperlink w:anchor="_Toc20133922" w:history="1">
            <w:r w:rsidR="00CF771B" w:rsidRPr="00320B71">
              <w:rPr>
                <w:rStyle w:val="Hyperlink"/>
                <w:rFonts w:ascii="Arial" w:hAnsi="Arial" w:cs="Arial"/>
                <w:noProof/>
              </w:rPr>
              <w:t>3 - DEFINIÇÃO DA METODOLOGIA DE SELEÇÃO DE INVESTIMENTOS</w:t>
            </w:r>
            <w:r w:rsidR="00CF771B">
              <w:rPr>
                <w:noProof/>
                <w:webHidden/>
              </w:rPr>
              <w:tab/>
            </w:r>
            <w:r w:rsidR="000834E5">
              <w:rPr>
                <w:noProof/>
                <w:webHidden/>
              </w:rPr>
              <w:fldChar w:fldCharType="begin"/>
            </w:r>
            <w:r w:rsidR="00CF771B">
              <w:rPr>
                <w:noProof/>
                <w:webHidden/>
              </w:rPr>
              <w:instrText xml:space="preserve"> PAGEREF _Toc20133922 \h </w:instrText>
            </w:r>
            <w:r w:rsidR="000834E5">
              <w:rPr>
                <w:noProof/>
                <w:webHidden/>
              </w:rPr>
            </w:r>
            <w:r w:rsidR="000834E5">
              <w:rPr>
                <w:noProof/>
                <w:webHidden/>
              </w:rPr>
              <w:fldChar w:fldCharType="separate"/>
            </w:r>
            <w:r w:rsidR="003218D3">
              <w:rPr>
                <w:noProof/>
                <w:webHidden/>
              </w:rPr>
              <w:t>5</w:t>
            </w:r>
            <w:r w:rsidR="000834E5">
              <w:rPr>
                <w:noProof/>
                <w:webHidden/>
              </w:rPr>
              <w:fldChar w:fldCharType="end"/>
            </w:r>
          </w:hyperlink>
        </w:p>
        <w:p w:rsidR="00CF771B" w:rsidRDefault="00444B55" w:rsidP="00CF771B">
          <w:pPr>
            <w:pStyle w:val="Sumrio1"/>
            <w:tabs>
              <w:tab w:val="right" w:leader="dot" w:pos="8494"/>
            </w:tabs>
            <w:rPr>
              <w:rFonts w:eastAsiaTheme="minorEastAsia"/>
              <w:noProof/>
              <w:lang w:eastAsia="pt-BR"/>
            </w:rPr>
          </w:pPr>
          <w:hyperlink w:anchor="_Toc20133923" w:history="1">
            <w:r w:rsidR="00CF771B" w:rsidRPr="00320B71">
              <w:rPr>
                <w:rStyle w:val="Hyperlink"/>
                <w:rFonts w:ascii="Arial" w:hAnsi="Arial" w:cs="Arial"/>
                <w:noProof/>
              </w:rPr>
              <w:t>4 - LIMITAÇÕES, RESTRIÇÕES E VEDAÇÕES DAS APLICAÇÕES FINANCEIRAS</w:t>
            </w:r>
            <w:r w:rsidR="00CF771B">
              <w:rPr>
                <w:noProof/>
                <w:webHidden/>
              </w:rPr>
              <w:tab/>
            </w:r>
            <w:r w:rsidR="000834E5">
              <w:rPr>
                <w:noProof/>
                <w:webHidden/>
              </w:rPr>
              <w:fldChar w:fldCharType="begin"/>
            </w:r>
            <w:r w:rsidR="00CF771B">
              <w:rPr>
                <w:noProof/>
                <w:webHidden/>
              </w:rPr>
              <w:instrText xml:space="preserve"> PAGEREF _Toc20133923 \h </w:instrText>
            </w:r>
            <w:r w:rsidR="000834E5">
              <w:rPr>
                <w:noProof/>
                <w:webHidden/>
              </w:rPr>
            </w:r>
            <w:r w:rsidR="000834E5">
              <w:rPr>
                <w:noProof/>
                <w:webHidden/>
              </w:rPr>
              <w:fldChar w:fldCharType="separate"/>
            </w:r>
            <w:r w:rsidR="003218D3">
              <w:rPr>
                <w:noProof/>
                <w:webHidden/>
              </w:rPr>
              <w:t>8</w:t>
            </w:r>
            <w:r w:rsidR="000834E5">
              <w:rPr>
                <w:noProof/>
                <w:webHidden/>
              </w:rPr>
              <w:fldChar w:fldCharType="end"/>
            </w:r>
          </w:hyperlink>
        </w:p>
        <w:p w:rsidR="00CF771B" w:rsidRDefault="00444B55" w:rsidP="00CF771B">
          <w:pPr>
            <w:pStyle w:val="Sumrio1"/>
            <w:tabs>
              <w:tab w:val="right" w:leader="dot" w:pos="8494"/>
            </w:tabs>
            <w:rPr>
              <w:rFonts w:eastAsiaTheme="minorEastAsia"/>
              <w:noProof/>
              <w:lang w:eastAsia="pt-BR"/>
            </w:rPr>
          </w:pPr>
          <w:hyperlink w:anchor="_Toc20133924" w:history="1">
            <w:r w:rsidR="00CF771B" w:rsidRPr="00320B71">
              <w:rPr>
                <w:rStyle w:val="Hyperlink"/>
                <w:rFonts w:ascii="Arial" w:hAnsi="Arial" w:cs="Arial"/>
                <w:noProof/>
              </w:rPr>
              <w:t>5 - CENÁRIO MACROECONÔMICO E PROJEÇÕES ECONÔMICAS</w:t>
            </w:r>
            <w:r w:rsidR="00CF771B">
              <w:rPr>
                <w:noProof/>
                <w:webHidden/>
              </w:rPr>
              <w:tab/>
            </w:r>
            <w:r w:rsidR="000834E5">
              <w:rPr>
                <w:noProof/>
                <w:webHidden/>
              </w:rPr>
              <w:fldChar w:fldCharType="begin"/>
            </w:r>
            <w:r w:rsidR="00CF771B">
              <w:rPr>
                <w:noProof/>
                <w:webHidden/>
              </w:rPr>
              <w:instrText xml:space="preserve"> PAGEREF _Toc20133924 \h </w:instrText>
            </w:r>
            <w:r w:rsidR="000834E5">
              <w:rPr>
                <w:noProof/>
                <w:webHidden/>
              </w:rPr>
            </w:r>
            <w:r w:rsidR="000834E5">
              <w:rPr>
                <w:noProof/>
                <w:webHidden/>
              </w:rPr>
              <w:fldChar w:fldCharType="separate"/>
            </w:r>
            <w:r w:rsidR="003218D3">
              <w:rPr>
                <w:noProof/>
                <w:webHidden/>
              </w:rPr>
              <w:t>11</w:t>
            </w:r>
            <w:r w:rsidR="000834E5">
              <w:rPr>
                <w:noProof/>
                <w:webHidden/>
              </w:rPr>
              <w:fldChar w:fldCharType="end"/>
            </w:r>
          </w:hyperlink>
        </w:p>
        <w:p w:rsidR="00CF771B" w:rsidRDefault="00444B55" w:rsidP="00CF771B">
          <w:pPr>
            <w:pStyle w:val="Sumrio2"/>
            <w:tabs>
              <w:tab w:val="right" w:leader="dot" w:pos="8494"/>
            </w:tabs>
            <w:rPr>
              <w:rFonts w:eastAsiaTheme="minorEastAsia"/>
              <w:noProof/>
              <w:lang w:eastAsia="pt-BR"/>
            </w:rPr>
          </w:pPr>
          <w:hyperlink w:anchor="_Toc20133925" w:history="1">
            <w:r w:rsidR="00CF771B" w:rsidRPr="00320B71">
              <w:rPr>
                <w:rStyle w:val="Hyperlink"/>
                <w:rFonts w:ascii="Arial" w:hAnsi="Arial" w:cs="Arial"/>
                <w:noProof/>
              </w:rPr>
              <w:t>5.1 TAXA SELIC</w:t>
            </w:r>
            <w:r w:rsidR="00CF771B">
              <w:rPr>
                <w:noProof/>
                <w:webHidden/>
              </w:rPr>
              <w:tab/>
            </w:r>
            <w:r w:rsidR="000834E5">
              <w:rPr>
                <w:noProof/>
                <w:webHidden/>
              </w:rPr>
              <w:fldChar w:fldCharType="begin"/>
            </w:r>
            <w:r w:rsidR="00CF771B">
              <w:rPr>
                <w:noProof/>
                <w:webHidden/>
              </w:rPr>
              <w:instrText xml:space="preserve"> PAGEREF _Toc20133925 \h </w:instrText>
            </w:r>
            <w:r w:rsidR="000834E5">
              <w:rPr>
                <w:noProof/>
                <w:webHidden/>
              </w:rPr>
            </w:r>
            <w:r w:rsidR="000834E5">
              <w:rPr>
                <w:noProof/>
                <w:webHidden/>
              </w:rPr>
              <w:fldChar w:fldCharType="separate"/>
            </w:r>
            <w:r w:rsidR="003218D3">
              <w:rPr>
                <w:noProof/>
                <w:webHidden/>
              </w:rPr>
              <w:t>11</w:t>
            </w:r>
            <w:r w:rsidR="000834E5">
              <w:rPr>
                <w:noProof/>
                <w:webHidden/>
              </w:rPr>
              <w:fldChar w:fldCharType="end"/>
            </w:r>
          </w:hyperlink>
        </w:p>
        <w:p w:rsidR="00CF771B" w:rsidRPr="001B643E" w:rsidRDefault="00444B55" w:rsidP="00CF771B">
          <w:pPr>
            <w:pStyle w:val="Sumrio2"/>
            <w:tabs>
              <w:tab w:val="right" w:leader="dot" w:pos="8494"/>
            </w:tabs>
            <w:rPr>
              <w:rFonts w:eastAsiaTheme="minorEastAsia"/>
              <w:noProof/>
              <w:lang w:eastAsia="pt-BR"/>
            </w:rPr>
          </w:pPr>
          <w:hyperlink w:anchor="_Toc20133926" w:history="1">
            <w:r w:rsidR="00CF771B" w:rsidRPr="001B643E">
              <w:rPr>
                <w:rStyle w:val="Hyperlink"/>
                <w:rFonts w:ascii="Arial" w:hAnsi="Arial" w:cs="Arial"/>
                <w:noProof/>
              </w:rPr>
              <w:t>5.2 INFLAÇÃO</w:t>
            </w:r>
            <w:r w:rsidR="00CF771B" w:rsidRPr="001B643E">
              <w:rPr>
                <w:noProof/>
                <w:webHidden/>
              </w:rPr>
              <w:tab/>
            </w:r>
            <w:r w:rsidR="000834E5" w:rsidRPr="001B643E">
              <w:rPr>
                <w:noProof/>
                <w:webHidden/>
              </w:rPr>
              <w:fldChar w:fldCharType="begin"/>
            </w:r>
            <w:r w:rsidR="00CF771B" w:rsidRPr="001B643E">
              <w:rPr>
                <w:noProof/>
                <w:webHidden/>
              </w:rPr>
              <w:instrText xml:space="preserve"> PAGEREF _Toc20133926 \h </w:instrText>
            </w:r>
            <w:r w:rsidR="000834E5" w:rsidRPr="001B643E">
              <w:rPr>
                <w:noProof/>
                <w:webHidden/>
              </w:rPr>
            </w:r>
            <w:r w:rsidR="000834E5" w:rsidRPr="001B643E">
              <w:rPr>
                <w:noProof/>
                <w:webHidden/>
              </w:rPr>
              <w:fldChar w:fldCharType="separate"/>
            </w:r>
            <w:r w:rsidR="003218D3">
              <w:rPr>
                <w:noProof/>
                <w:webHidden/>
              </w:rPr>
              <w:t>12</w:t>
            </w:r>
            <w:r w:rsidR="000834E5" w:rsidRPr="001B643E">
              <w:rPr>
                <w:noProof/>
                <w:webHidden/>
              </w:rPr>
              <w:fldChar w:fldCharType="end"/>
            </w:r>
          </w:hyperlink>
        </w:p>
        <w:p w:rsidR="00CF771B" w:rsidRPr="001B643E" w:rsidRDefault="00444B55" w:rsidP="00CF771B">
          <w:pPr>
            <w:pStyle w:val="Sumrio2"/>
            <w:tabs>
              <w:tab w:val="right" w:leader="dot" w:pos="8494"/>
            </w:tabs>
            <w:rPr>
              <w:rFonts w:eastAsiaTheme="minorEastAsia"/>
              <w:noProof/>
              <w:lang w:eastAsia="pt-BR"/>
            </w:rPr>
          </w:pPr>
          <w:hyperlink w:anchor="_Toc20133927" w:history="1">
            <w:r w:rsidR="00CF771B" w:rsidRPr="001B643E">
              <w:rPr>
                <w:rStyle w:val="Hyperlink"/>
                <w:rFonts w:ascii="Arial" w:hAnsi="Arial" w:cs="Arial"/>
                <w:noProof/>
              </w:rPr>
              <w:t>5.3. PRODUTO INTERNO BRUTO - PIB</w:t>
            </w:r>
            <w:r w:rsidR="00CF771B" w:rsidRPr="001B643E">
              <w:rPr>
                <w:noProof/>
                <w:webHidden/>
              </w:rPr>
              <w:tab/>
            </w:r>
            <w:r w:rsidR="000834E5" w:rsidRPr="001B643E">
              <w:rPr>
                <w:noProof/>
                <w:webHidden/>
              </w:rPr>
              <w:fldChar w:fldCharType="begin"/>
            </w:r>
            <w:r w:rsidR="00CF771B" w:rsidRPr="001B643E">
              <w:rPr>
                <w:noProof/>
                <w:webHidden/>
              </w:rPr>
              <w:instrText xml:space="preserve"> PAGEREF _Toc20133927 \h </w:instrText>
            </w:r>
            <w:r w:rsidR="000834E5" w:rsidRPr="001B643E">
              <w:rPr>
                <w:noProof/>
                <w:webHidden/>
              </w:rPr>
            </w:r>
            <w:r w:rsidR="000834E5" w:rsidRPr="001B643E">
              <w:rPr>
                <w:noProof/>
                <w:webHidden/>
              </w:rPr>
              <w:fldChar w:fldCharType="separate"/>
            </w:r>
            <w:r w:rsidR="003218D3">
              <w:rPr>
                <w:noProof/>
                <w:webHidden/>
              </w:rPr>
              <w:t>14</w:t>
            </w:r>
            <w:r w:rsidR="000834E5" w:rsidRPr="001B643E">
              <w:rPr>
                <w:noProof/>
                <w:webHidden/>
              </w:rPr>
              <w:fldChar w:fldCharType="end"/>
            </w:r>
          </w:hyperlink>
        </w:p>
        <w:p w:rsidR="00CF771B" w:rsidRDefault="00444B55" w:rsidP="00CF771B">
          <w:pPr>
            <w:pStyle w:val="Sumrio1"/>
            <w:tabs>
              <w:tab w:val="right" w:leader="dot" w:pos="8494"/>
            </w:tabs>
            <w:rPr>
              <w:rFonts w:eastAsiaTheme="minorEastAsia"/>
              <w:noProof/>
              <w:lang w:eastAsia="pt-BR"/>
            </w:rPr>
          </w:pPr>
          <w:hyperlink w:anchor="_Toc20133928" w:history="1">
            <w:r w:rsidR="00CF771B" w:rsidRPr="00320B71">
              <w:rPr>
                <w:rStyle w:val="Hyperlink"/>
                <w:rFonts w:ascii="Arial" w:hAnsi="Arial" w:cs="Arial"/>
                <w:noProof/>
              </w:rPr>
              <w:t>6. ALOCAÇÃO DE RECURSOS</w:t>
            </w:r>
            <w:r w:rsidR="00CF771B">
              <w:rPr>
                <w:noProof/>
                <w:webHidden/>
              </w:rPr>
              <w:tab/>
            </w:r>
            <w:r w:rsidR="000834E5">
              <w:rPr>
                <w:noProof/>
                <w:webHidden/>
              </w:rPr>
              <w:fldChar w:fldCharType="begin"/>
            </w:r>
            <w:r w:rsidR="00CF771B">
              <w:rPr>
                <w:noProof/>
                <w:webHidden/>
              </w:rPr>
              <w:instrText xml:space="preserve"> PAGEREF _Toc20133928 \h </w:instrText>
            </w:r>
            <w:r w:rsidR="000834E5">
              <w:rPr>
                <w:noProof/>
                <w:webHidden/>
              </w:rPr>
            </w:r>
            <w:r w:rsidR="000834E5">
              <w:rPr>
                <w:noProof/>
                <w:webHidden/>
              </w:rPr>
              <w:fldChar w:fldCharType="separate"/>
            </w:r>
            <w:r w:rsidR="003218D3">
              <w:rPr>
                <w:noProof/>
                <w:webHidden/>
              </w:rPr>
              <w:t>15</w:t>
            </w:r>
            <w:r w:rsidR="000834E5">
              <w:rPr>
                <w:noProof/>
                <w:webHidden/>
              </w:rPr>
              <w:fldChar w:fldCharType="end"/>
            </w:r>
          </w:hyperlink>
        </w:p>
        <w:p w:rsidR="00CF771B" w:rsidRDefault="00444B55" w:rsidP="00CF771B">
          <w:pPr>
            <w:pStyle w:val="Sumrio2"/>
            <w:tabs>
              <w:tab w:val="right" w:leader="dot" w:pos="8494"/>
            </w:tabs>
            <w:rPr>
              <w:rFonts w:eastAsiaTheme="minorEastAsia"/>
              <w:noProof/>
              <w:lang w:eastAsia="pt-BR"/>
            </w:rPr>
          </w:pPr>
          <w:hyperlink w:anchor="_Toc20133929" w:history="1">
            <w:r w:rsidR="00CF771B" w:rsidRPr="00320B71">
              <w:rPr>
                <w:rStyle w:val="Hyperlink"/>
                <w:rFonts w:ascii="Arial" w:hAnsi="Arial" w:cs="Arial"/>
                <w:noProof/>
              </w:rPr>
              <w:t>6.1 SEGMENTO DE RENDA FIXA</w:t>
            </w:r>
            <w:r w:rsidR="00CF771B">
              <w:rPr>
                <w:noProof/>
                <w:webHidden/>
              </w:rPr>
              <w:tab/>
            </w:r>
            <w:r w:rsidR="000834E5">
              <w:rPr>
                <w:noProof/>
                <w:webHidden/>
              </w:rPr>
              <w:fldChar w:fldCharType="begin"/>
            </w:r>
            <w:r w:rsidR="00CF771B">
              <w:rPr>
                <w:noProof/>
                <w:webHidden/>
              </w:rPr>
              <w:instrText xml:space="preserve"> PAGEREF _Toc20133929 \h </w:instrText>
            </w:r>
            <w:r w:rsidR="000834E5">
              <w:rPr>
                <w:noProof/>
                <w:webHidden/>
              </w:rPr>
            </w:r>
            <w:r w:rsidR="000834E5">
              <w:rPr>
                <w:noProof/>
                <w:webHidden/>
              </w:rPr>
              <w:fldChar w:fldCharType="separate"/>
            </w:r>
            <w:r w:rsidR="003218D3">
              <w:rPr>
                <w:noProof/>
                <w:webHidden/>
              </w:rPr>
              <w:t>15</w:t>
            </w:r>
            <w:r w:rsidR="000834E5">
              <w:rPr>
                <w:noProof/>
                <w:webHidden/>
              </w:rPr>
              <w:fldChar w:fldCharType="end"/>
            </w:r>
          </w:hyperlink>
        </w:p>
        <w:p w:rsidR="00CF771B" w:rsidRDefault="00444B55" w:rsidP="00CF771B">
          <w:pPr>
            <w:pStyle w:val="Sumrio2"/>
            <w:tabs>
              <w:tab w:val="right" w:leader="dot" w:pos="8494"/>
            </w:tabs>
            <w:rPr>
              <w:rFonts w:eastAsiaTheme="minorEastAsia"/>
              <w:noProof/>
              <w:lang w:eastAsia="pt-BR"/>
            </w:rPr>
          </w:pPr>
          <w:hyperlink w:anchor="_Toc20133930" w:history="1">
            <w:r w:rsidR="00CF771B" w:rsidRPr="00320B71">
              <w:rPr>
                <w:rStyle w:val="Hyperlink"/>
                <w:rFonts w:ascii="Arial" w:hAnsi="Arial" w:cs="Arial"/>
                <w:noProof/>
              </w:rPr>
              <w:t>6.2 SEGMENTO EM RENDA VARIÁVEL E INVESTIMENTOS ESTRUTURADOS</w:t>
            </w:r>
            <w:r w:rsidR="00CF771B">
              <w:rPr>
                <w:noProof/>
                <w:webHidden/>
              </w:rPr>
              <w:tab/>
            </w:r>
            <w:r w:rsidR="000834E5">
              <w:rPr>
                <w:noProof/>
                <w:webHidden/>
              </w:rPr>
              <w:fldChar w:fldCharType="begin"/>
            </w:r>
            <w:r w:rsidR="00CF771B">
              <w:rPr>
                <w:noProof/>
                <w:webHidden/>
              </w:rPr>
              <w:instrText xml:space="preserve"> PAGEREF _Toc20133930 \h </w:instrText>
            </w:r>
            <w:r w:rsidR="000834E5">
              <w:rPr>
                <w:noProof/>
                <w:webHidden/>
              </w:rPr>
            </w:r>
            <w:r w:rsidR="000834E5">
              <w:rPr>
                <w:noProof/>
                <w:webHidden/>
              </w:rPr>
              <w:fldChar w:fldCharType="separate"/>
            </w:r>
            <w:r w:rsidR="003218D3">
              <w:rPr>
                <w:noProof/>
                <w:webHidden/>
              </w:rPr>
              <w:t>18</w:t>
            </w:r>
            <w:r w:rsidR="000834E5">
              <w:rPr>
                <w:noProof/>
                <w:webHidden/>
              </w:rPr>
              <w:fldChar w:fldCharType="end"/>
            </w:r>
          </w:hyperlink>
        </w:p>
        <w:p w:rsidR="00CF771B" w:rsidRDefault="00444B55" w:rsidP="00CF771B">
          <w:pPr>
            <w:pStyle w:val="Sumrio2"/>
            <w:tabs>
              <w:tab w:val="right" w:leader="dot" w:pos="8494"/>
            </w:tabs>
            <w:rPr>
              <w:rFonts w:eastAsiaTheme="minorEastAsia"/>
              <w:noProof/>
              <w:lang w:eastAsia="pt-BR"/>
            </w:rPr>
          </w:pPr>
          <w:hyperlink w:anchor="_Toc20133931" w:history="1">
            <w:r w:rsidR="00CF771B" w:rsidRPr="00320B71">
              <w:rPr>
                <w:rStyle w:val="Hyperlink"/>
                <w:rFonts w:ascii="Arial" w:hAnsi="Arial" w:cs="Arial"/>
                <w:noProof/>
              </w:rPr>
              <w:t>6.3 SEGMENTO DE INVESTIMENTOS NO EXTERIOR</w:t>
            </w:r>
            <w:r w:rsidR="00CF771B">
              <w:rPr>
                <w:noProof/>
                <w:webHidden/>
              </w:rPr>
              <w:tab/>
            </w:r>
            <w:r w:rsidR="000834E5">
              <w:rPr>
                <w:noProof/>
                <w:webHidden/>
              </w:rPr>
              <w:fldChar w:fldCharType="begin"/>
            </w:r>
            <w:r w:rsidR="00CF771B">
              <w:rPr>
                <w:noProof/>
                <w:webHidden/>
              </w:rPr>
              <w:instrText xml:space="preserve"> PAGEREF _Toc20133931 \h </w:instrText>
            </w:r>
            <w:r w:rsidR="000834E5">
              <w:rPr>
                <w:noProof/>
                <w:webHidden/>
              </w:rPr>
            </w:r>
            <w:r w:rsidR="000834E5">
              <w:rPr>
                <w:noProof/>
                <w:webHidden/>
              </w:rPr>
              <w:fldChar w:fldCharType="separate"/>
            </w:r>
            <w:r w:rsidR="003218D3">
              <w:rPr>
                <w:noProof/>
                <w:webHidden/>
              </w:rPr>
              <w:t>20</w:t>
            </w:r>
            <w:r w:rsidR="000834E5">
              <w:rPr>
                <w:noProof/>
                <w:webHidden/>
              </w:rPr>
              <w:fldChar w:fldCharType="end"/>
            </w:r>
          </w:hyperlink>
        </w:p>
        <w:p w:rsidR="00CF771B" w:rsidRDefault="00444B55" w:rsidP="00CF771B">
          <w:pPr>
            <w:pStyle w:val="Sumrio1"/>
            <w:tabs>
              <w:tab w:val="right" w:leader="dot" w:pos="8494"/>
            </w:tabs>
            <w:rPr>
              <w:rFonts w:eastAsiaTheme="minorEastAsia"/>
              <w:noProof/>
              <w:lang w:eastAsia="pt-BR"/>
            </w:rPr>
          </w:pPr>
          <w:hyperlink w:anchor="_Toc20133932" w:history="1">
            <w:r w:rsidR="00CF771B" w:rsidRPr="00320B71">
              <w:rPr>
                <w:rStyle w:val="Hyperlink"/>
                <w:rFonts w:ascii="Arial" w:hAnsi="Arial" w:cs="Arial"/>
                <w:noProof/>
              </w:rPr>
              <w:t>7. CONSIDERAÇÕES FINAIS</w:t>
            </w:r>
            <w:r w:rsidR="00CF771B">
              <w:rPr>
                <w:noProof/>
                <w:webHidden/>
              </w:rPr>
              <w:tab/>
            </w:r>
            <w:r w:rsidR="000834E5">
              <w:rPr>
                <w:noProof/>
                <w:webHidden/>
              </w:rPr>
              <w:fldChar w:fldCharType="begin"/>
            </w:r>
            <w:r w:rsidR="00CF771B">
              <w:rPr>
                <w:noProof/>
                <w:webHidden/>
              </w:rPr>
              <w:instrText xml:space="preserve"> PAGEREF _Toc20133932 \h </w:instrText>
            </w:r>
            <w:r w:rsidR="000834E5">
              <w:rPr>
                <w:noProof/>
                <w:webHidden/>
              </w:rPr>
            </w:r>
            <w:r w:rsidR="000834E5">
              <w:rPr>
                <w:noProof/>
                <w:webHidden/>
              </w:rPr>
              <w:fldChar w:fldCharType="separate"/>
            </w:r>
            <w:r w:rsidR="003218D3">
              <w:rPr>
                <w:noProof/>
                <w:webHidden/>
              </w:rPr>
              <w:t>23</w:t>
            </w:r>
            <w:r w:rsidR="000834E5">
              <w:rPr>
                <w:noProof/>
                <w:webHidden/>
              </w:rPr>
              <w:fldChar w:fldCharType="end"/>
            </w:r>
          </w:hyperlink>
        </w:p>
        <w:p w:rsidR="00CF771B" w:rsidRDefault="000834E5" w:rsidP="00CF771B">
          <w:r w:rsidRPr="00C55771">
            <w:fldChar w:fldCharType="end"/>
          </w:r>
        </w:p>
      </w:sdtContent>
    </w:sdt>
    <w:p w:rsidR="00CF771B" w:rsidRDefault="00CF771B" w:rsidP="00CF771B">
      <w:pPr>
        <w:jc w:val="center"/>
        <w:rPr>
          <w:rFonts w:ascii="Arial" w:hAnsi="Arial" w:cs="Arial"/>
          <w:sz w:val="44"/>
          <w:szCs w:val="44"/>
        </w:rPr>
      </w:pPr>
    </w:p>
    <w:p w:rsidR="00CF771B" w:rsidRDefault="00CF771B" w:rsidP="00CF771B">
      <w:pPr>
        <w:jc w:val="center"/>
        <w:rPr>
          <w:rFonts w:ascii="Arial" w:hAnsi="Arial" w:cs="Arial"/>
          <w:sz w:val="44"/>
          <w:szCs w:val="44"/>
        </w:rPr>
      </w:pPr>
    </w:p>
    <w:p w:rsidR="00CF771B" w:rsidRDefault="00CF771B" w:rsidP="00CF771B">
      <w:pPr>
        <w:jc w:val="center"/>
        <w:rPr>
          <w:rFonts w:ascii="Arial" w:hAnsi="Arial" w:cs="Arial"/>
          <w:sz w:val="44"/>
          <w:szCs w:val="44"/>
        </w:rPr>
      </w:pPr>
    </w:p>
    <w:p w:rsidR="00CF771B" w:rsidRDefault="00CF771B" w:rsidP="00CF771B">
      <w:pPr>
        <w:jc w:val="center"/>
        <w:rPr>
          <w:rFonts w:ascii="Arial" w:hAnsi="Arial" w:cs="Arial"/>
          <w:sz w:val="44"/>
          <w:szCs w:val="44"/>
        </w:rPr>
      </w:pPr>
    </w:p>
    <w:p w:rsidR="00CF771B" w:rsidRDefault="00CF771B" w:rsidP="00CF771B">
      <w:pPr>
        <w:jc w:val="center"/>
        <w:rPr>
          <w:rFonts w:ascii="Arial" w:hAnsi="Arial" w:cs="Arial"/>
          <w:sz w:val="44"/>
          <w:szCs w:val="44"/>
        </w:rPr>
      </w:pPr>
    </w:p>
    <w:p w:rsidR="00CF771B" w:rsidRDefault="00CF771B" w:rsidP="00CF771B">
      <w:pPr>
        <w:jc w:val="center"/>
        <w:rPr>
          <w:rFonts w:ascii="Arial" w:hAnsi="Arial" w:cs="Arial"/>
          <w:sz w:val="44"/>
          <w:szCs w:val="44"/>
        </w:rPr>
      </w:pPr>
    </w:p>
    <w:p w:rsidR="00CF771B" w:rsidRDefault="00CF771B" w:rsidP="00CF771B">
      <w:pPr>
        <w:jc w:val="center"/>
        <w:rPr>
          <w:rFonts w:ascii="Arial" w:hAnsi="Arial" w:cs="Arial"/>
          <w:sz w:val="44"/>
          <w:szCs w:val="44"/>
        </w:rPr>
      </w:pPr>
    </w:p>
    <w:p w:rsidR="00CF771B" w:rsidRDefault="00CF771B" w:rsidP="00CF771B">
      <w:pPr>
        <w:jc w:val="center"/>
        <w:rPr>
          <w:rFonts w:ascii="Arial" w:hAnsi="Arial" w:cs="Arial"/>
          <w:sz w:val="44"/>
          <w:szCs w:val="44"/>
        </w:rPr>
      </w:pPr>
    </w:p>
    <w:p w:rsidR="00CF771B" w:rsidRDefault="00CF771B" w:rsidP="00CF771B">
      <w:pPr>
        <w:jc w:val="center"/>
        <w:rPr>
          <w:rFonts w:ascii="Arial" w:hAnsi="Arial" w:cs="Arial"/>
          <w:sz w:val="44"/>
          <w:szCs w:val="44"/>
        </w:rPr>
      </w:pPr>
    </w:p>
    <w:p w:rsidR="00F40954" w:rsidRDefault="00F40954" w:rsidP="00CF771B">
      <w:pPr>
        <w:jc w:val="center"/>
        <w:rPr>
          <w:rFonts w:ascii="Arial" w:hAnsi="Arial" w:cs="Arial"/>
          <w:sz w:val="44"/>
          <w:szCs w:val="44"/>
        </w:rPr>
      </w:pPr>
    </w:p>
    <w:p w:rsidR="00F40954" w:rsidRDefault="00F40954" w:rsidP="00CF771B">
      <w:pPr>
        <w:jc w:val="center"/>
        <w:rPr>
          <w:rFonts w:ascii="Arial" w:hAnsi="Arial" w:cs="Arial"/>
          <w:sz w:val="44"/>
          <w:szCs w:val="44"/>
        </w:rPr>
      </w:pPr>
    </w:p>
    <w:p w:rsidR="00CF771B" w:rsidRPr="00A172FB" w:rsidRDefault="00CF771B" w:rsidP="00CF771B">
      <w:pPr>
        <w:pStyle w:val="Ttulo1"/>
        <w:jc w:val="both"/>
        <w:rPr>
          <w:rFonts w:ascii="Arial" w:hAnsi="Arial" w:cs="Arial"/>
          <w:color w:val="000000"/>
          <w:sz w:val="22"/>
          <w:szCs w:val="24"/>
        </w:rPr>
      </w:pPr>
      <w:bookmarkStart w:id="0" w:name="_Toc536189692"/>
      <w:bookmarkStart w:id="1" w:name="_Toc20133920"/>
      <w:r w:rsidRPr="00A172FB">
        <w:rPr>
          <w:rFonts w:ascii="Arial" w:hAnsi="Arial" w:cs="Arial"/>
          <w:color w:val="000000"/>
          <w:sz w:val="22"/>
          <w:szCs w:val="24"/>
        </w:rPr>
        <w:t>1 - INTRODUÇÃO</w:t>
      </w:r>
      <w:bookmarkEnd w:id="0"/>
      <w:bookmarkEnd w:id="1"/>
    </w:p>
    <w:p w:rsidR="00CF771B" w:rsidRPr="00A172FB" w:rsidRDefault="00CF771B" w:rsidP="00CF771B">
      <w:pPr>
        <w:jc w:val="both"/>
        <w:rPr>
          <w:rFonts w:ascii="Arial" w:hAnsi="Arial" w:cs="Arial"/>
        </w:rPr>
      </w:pPr>
    </w:p>
    <w:p w:rsidR="00CF771B" w:rsidRPr="00FA2F70" w:rsidRDefault="00CF771B" w:rsidP="00CF771B">
      <w:pPr>
        <w:keepLines/>
        <w:spacing w:line="360" w:lineRule="auto"/>
        <w:ind w:firstLine="709"/>
        <w:jc w:val="both"/>
        <w:rPr>
          <w:rFonts w:ascii="Arial" w:hAnsi="Arial" w:cs="Arial"/>
          <w:color w:val="000000"/>
        </w:rPr>
      </w:pPr>
      <w:r w:rsidRPr="00BB6DCA">
        <w:rPr>
          <w:rFonts w:ascii="Arial" w:hAnsi="Arial" w:cs="Arial"/>
          <w:color w:val="000000"/>
        </w:rPr>
        <w:t xml:space="preserve">Em cumprimento ao artigo 4°, da Resolução do Conselho Monetário Nacional n° 3.922, de 25 de novembro de </w:t>
      </w:r>
      <w:r w:rsidRPr="00FA2F70">
        <w:rPr>
          <w:rFonts w:ascii="Arial" w:hAnsi="Arial" w:cs="Arial"/>
          <w:color w:val="000000"/>
        </w:rPr>
        <w:t>2010</w:t>
      </w:r>
      <w:r w:rsidR="007E0C50" w:rsidRPr="00FA2F70">
        <w:rPr>
          <w:rFonts w:ascii="Arial" w:hAnsi="Arial" w:cs="Arial"/>
          <w:color w:val="000000"/>
        </w:rPr>
        <w:t xml:space="preserve"> e suas posteriores atualizações</w:t>
      </w:r>
      <w:r w:rsidRPr="00FA2F70">
        <w:rPr>
          <w:rFonts w:ascii="Arial" w:hAnsi="Arial" w:cs="Arial"/>
          <w:color w:val="000000"/>
        </w:rPr>
        <w:t xml:space="preserve">, apresenta-se a Política Anual de Investimentos do </w:t>
      </w:r>
      <w:r w:rsidR="008E3C25" w:rsidRPr="00FA2F70">
        <w:rPr>
          <w:rFonts w:ascii="Arial" w:hAnsi="Arial" w:cs="Arial"/>
          <w:color w:val="000000"/>
        </w:rPr>
        <w:t>RPPS</w:t>
      </w:r>
      <w:r w:rsidRPr="00FA2F70">
        <w:rPr>
          <w:rFonts w:ascii="Arial" w:hAnsi="Arial" w:cs="Arial"/>
          <w:color w:val="000000"/>
        </w:rPr>
        <w:t xml:space="preserve"> – Fundo Municipal de Previdência Social dos Servidores de </w:t>
      </w:r>
      <w:r w:rsidR="00DA3FDE" w:rsidRPr="00FA2F70">
        <w:rPr>
          <w:rFonts w:ascii="Arial" w:hAnsi="Arial" w:cs="Arial"/>
          <w:b/>
          <w:color w:val="000000"/>
        </w:rPr>
        <w:t>JACIARA-MT</w:t>
      </w:r>
      <w:r w:rsidRPr="00FA2F70">
        <w:rPr>
          <w:rFonts w:ascii="Arial" w:hAnsi="Arial" w:cs="Arial"/>
          <w:color w:val="000000"/>
        </w:rPr>
        <w:t>, pessoa jurídica de dir</w:t>
      </w:r>
      <w:bookmarkStart w:id="2" w:name="_GoBack"/>
      <w:bookmarkEnd w:id="2"/>
      <w:r w:rsidRPr="00FA2F70">
        <w:rPr>
          <w:rFonts w:ascii="Arial" w:hAnsi="Arial" w:cs="Arial"/>
          <w:color w:val="000000"/>
        </w:rPr>
        <w:t xml:space="preserve">eito público interno, inscrito no CNPJ </w:t>
      </w:r>
      <w:r w:rsidR="00DA3FDE" w:rsidRPr="00FA2F70">
        <w:rPr>
          <w:rFonts w:ascii="Arial" w:hAnsi="Arial" w:cs="Arial"/>
          <w:color w:val="000000"/>
        </w:rPr>
        <w:t>Nº 01.609.895/0001-29</w:t>
      </w:r>
      <w:r w:rsidRPr="00FA2F70">
        <w:rPr>
          <w:rFonts w:ascii="Arial" w:hAnsi="Arial" w:cs="Arial"/>
          <w:color w:val="000000"/>
        </w:rPr>
        <w:t xml:space="preserve">, sediado à </w:t>
      </w:r>
      <w:proofErr w:type="gramStart"/>
      <w:r w:rsidR="00DA3FDE" w:rsidRPr="00FA2F70">
        <w:rPr>
          <w:rFonts w:ascii="Arial" w:hAnsi="Arial" w:cs="Arial"/>
          <w:color w:val="000000"/>
        </w:rPr>
        <w:t>Rua Potiguaras</w:t>
      </w:r>
      <w:proofErr w:type="gramEnd"/>
      <w:r w:rsidR="00DA3FDE" w:rsidRPr="00FA2F70">
        <w:rPr>
          <w:rFonts w:ascii="Arial" w:hAnsi="Arial" w:cs="Arial"/>
          <w:color w:val="000000"/>
        </w:rPr>
        <w:t xml:space="preserve"> nº 870 centro, Jaciara-MT</w:t>
      </w:r>
      <w:r w:rsidR="00221072" w:rsidRPr="00FA2F70">
        <w:rPr>
          <w:rFonts w:ascii="Arial" w:hAnsi="Arial" w:cs="Arial"/>
          <w:color w:val="000000"/>
        </w:rPr>
        <w:t xml:space="preserve">, </w:t>
      </w:r>
      <w:proofErr w:type="gramStart"/>
      <w:r w:rsidR="00221072" w:rsidRPr="00FA2F70">
        <w:rPr>
          <w:rFonts w:ascii="Arial" w:hAnsi="Arial" w:cs="Arial"/>
          <w:color w:val="000000"/>
        </w:rPr>
        <w:t>para</w:t>
      </w:r>
      <w:proofErr w:type="gramEnd"/>
      <w:r w:rsidR="00221072" w:rsidRPr="00FA2F70">
        <w:rPr>
          <w:rFonts w:ascii="Arial" w:hAnsi="Arial" w:cs="Arial"/>
          <w:color w:val="000000"/>
        </w:rPr>
        <w:t xml:space="preserve"> o exercício de 2021</w:t>
      </w:r>
      <w:r w:rsidRPr="00FA2F70">
        <w:rPr>
          <w:rFonts w:ascii="Arial" w:hAnsi="Arial" w:cs="Arial"/>
          <w:color w:val="000000"/>
        </w:rPr>
        <w:t>.</w:t>
      </w:r>
    </w:p>
    <w:p w:rsidR="00CF771B" w:rsidRPr="00FA2F70" w:rsidRDefault="00CF771B" w:rsidP="00CF771B">
      <w:pPr>
        <w:keepLines/>
        <w:spacing w:line="360" w:lineRule="auto"/>
        <w:jc w:val="both"/>
        <w:rPr>
          <w:rFonts w:ascii="Arial" w:hAnsi="Arial" w:cs="Arial"/>
          <w:color w:val="000000"/>
        </w:rPr>
      </w:pPr>
    </w:p>
    <w:p w:rsidR="00CF771B" w:rsidRPr="00BB6DCA" w:rsidRDefault="00CF771B" w:rsidP="00CF771B">
      <w:pPr>
        <w:keepLines/>
        <w:spacing w:line="360" w:lineRule="auto"/>
        <w:ind w:firstLine="709"/>
        <w:jc w:val="both"/>
        <w:rPr>
          <w:rFonts w:ascii="Arial" w:hAnsi="Arial" w:cs="Arial"/>
          <w:color w:val="000000"/>
        </w:rPr>
      </w:pPr>
      <w:r w:rsidRPr="00FA2F70">
        <w:rPr>
          <w:rFonts w:ascii="Arial" w:hAnsi="Arial" w:cs="Arial"/>
          <w:color w:val="000000"/>
        </w:rPr>
        <w:t xml:space="preserve">A Política Anual de Investimentos do Fundo Municipal de Previdência Social dos Servidores de </w:t>
      </w:r>
      <w:r w:rsidR="00DA3FDE" w:rsidRPr="00FA2F70">
        <w:rPr>
          <w:rFonts w:ascii="Arial" w:hAnsi="Arial" w:cs="Arial"/>
          <w:b/>
          <w:color w:val="000000"/>
        </w:rPr>
        <w:t>JACIARA-MT</w:t>
      </w:r>
      <w:proofErr w:type="gramStart"/>
      <w:r w:rsidR="00DA3FDE" w:rsidRPr="00FA2F70">
        <w:rPr>
          <w:rFonts w:ascii="Arial" w:hAnsi="Arial" w:cs="Arial"/>
          <w:b/>
          <w:color w:val="000000"/>
        </w:rPr>
        <w:t>,</w:t>
      </w:r>
      <w:r w:rsidR="008E3C25" w:rsidRPr="00FA2F70">
        <w:rPr>
          <w:rFonts w:ascii="Arial" w:hAnsi="Arial" w:cs="Arial"/>
          <w:color w:val="000000"/>
        </w:rPr>
        <w:t xml:space="preserve"> </w:t>
      </w:r>
      <w:r w:rsidRPr="00FA2F70">
        <w:rPr>
          <w:rFonts w:ascii="Arial" w:hAnsi="Arial" w:cs="Arial"/>
          <w:color w:val="000000"/>
        </w:rPr>
        <w:t>tem</w:t>
      </w:r>
      <w:proofErr w:type="gramEnd"/>
      <w:r w:rsidRPr="00FA2F70">
        <w:rPr>
          <w:rFonts w:ascii="Arial" w:hAnsi="Arial" w:cs="Arial"/>
          <w:color w:val="000000"/>
        </w:rPr>
        <w:t xml:space="preserve"> como objetivo definir o modelo de</w:t>
      </w:r>
      <w:r w:rsidRPr="00BB6DCA">
        <w:rPr>
          <w:rFonts w:ascii="Arial" w:hAnsi="Arial" w:cs="Arial"/>
          <w:color w:val="000000"/>
        </w:rPr>
        <w:t xml:space="preserve"> gestão que será próprio estabelecendo as diretrizes das aplicações dos recursos respeitando os limites de diversificação e concentração previstos na Resolução CMN n.º 3.922/2010 com redação dada pela Resolução n.º 4.604/2017 e Resolução nº 4.695/2018 tendo em vista a necessidade de busca e manutenção do equilíbrio financeiro e atuarial.</w:t>
      </w:r>
    </w:p>
    <w:p w:rsidR="00CF771B" w:rsidRPr="00A172FB" w:rsidRDefault="00CF771B" w:rsidP="00CF771B">
      <w:pPr>
        <w:pStyle w:val="Ttulo1"/>
        <w:jc w:val="both"/>
        <w:rPr>
          <w:rFonts w:ascii="Arial" w:hAnsi="Arial" w:cs="Arial"/>
          <w:color w:val="000000" w:themeColor="text1"/>
          <w:sz w:val="22"/>
          <w:szCs w:val="22"/>
        </w:rPr>
      </w:pPr>
      <w:bookmarkStart w:id="3" w:name="_Toc536189693"/>
      <w:bookmarkStart w:id="4" w:name="_Toc20133921"/>
      <w:proofErr w:type="gramStart"/>
      <w:r w:rsidRPr="00D24789">
        <w:rPr>
          <w:rFonts w:ascii="Arial" w:hAnsi="Arial" w:cs="Arial"/>
          <w:color w:val="000000" w:themeColor="text1"/>
          <w:sz w:val="22"/>
          <w:szCs w:val="22"/>
        </w:rPr>
        <w:t>2 - OBJETIVO</w:t>
      </w:r>
      <w:proofErr w:type="gramEnd"/>
      <w:r w:rsidRPr="00D24789">
        <w:rPr>
          <w:rFonts w:ascii="Arial" w:hAnsi="Arial" w:cs="Arial"/>
          <w:color w:val="000000" w:themeColor="text1"/>
          <w:sz w:val="22"/>
          <w:szCs w:val="22"/>
        </w:rPr>
        <w:t xml:space="preserve"> DA GESTÃO</w:t>
      </w:r>
      <w:bookmarkEnd w:id="3"/>
      <w:bookmarkEnd w:id="4"/>
    </w:p>
    <w:p w:rsidR="00CF771B" w:rsidRPr="00A172FB" w:rsidRDefault="00CF771B" w:rsidP="00CF771B">
      <w:pPr>
        <w:keepLines/>
        <w:spacing w:line="360" w:lineRule="auto"/>
        <w:jc w:val="both"/>
        <w:rPr>
          <w:rFonts w:ascii="Arial" w:hAnsi="Arial" w:cs="Arial"/>
          <w:color w:val="000000" w:themeColor="text1"/>
          <w:szCs w:val="24"/>
        </w:rPr>
      </w:pPr>
    </w:p>
    <w:p w:rsidR="003844FE" w:rsidRDefault="00CF771B" w:rsidP="00CF771B">
      <w:pPr>
        <w:keepLines/>
        <w:spacing w:line="360" w:lineRule="auto"/>
        <w:ind w:firstLine="709"/>
        <w:jc w:val="both"/>
        <w:rPr>
          <w:rFonts w:ascii="Arial" w:hAnsi="Arial" w:cs="Arial"/>
          <w:szCs w:val="24"/>
        </w:rPr>
      </w:pPr>
      <w:r w:rsidRPr="00A172FB">
        <w:rPr>
          <w:rFonts w:ascii="Arial" w:hAnsi="Arial" w:cs="Arial"/>
          <w:szCs w:val="24"/>
        </w:rPr>
        <w:t xml:space="preserve">O objetivo da alocação dos recursos será a preservação do equilíbrio econômico – financeiro e atuarial, visando o atendimento da meta atuarial de </w:t>
      </w:r>
      <w:r w:rsidR="002C1D9D">
        <w:rPr>
          <w:rFonts w:ascii="Arial" w:hAnsi="Arial" w:cs="Arial"/>
          <w:b/>
          <w:szCs w:val="24"/>
        </w:rPr>
        <w:t>5,4</w:t>
      </w:r>
      <w:r w:rsidR="00335371">
        <w:rPr>
          <w:rFonts w:ascii="Arial" w:hAnsi="Arial" w:cs="Arial"/>
          <w:b/>
          <w:szCs w:val="24"/>
        </w:rPr>
        <w:t>3</w:t>
      </w:r>
      <w:r w:rsidRPr="003A15D5">
        <w:rPr>
          <w:rFonts w:ascii="Arial" w:hAnsi="Arial" w:cs="Arial"/>
          <w:b/>
          <w:szCs w:val="24"/>
        </w:rPr>
        <w:t xml:space="preserve">% (cinco </w:t>
      </w:r>
      <w:r w:rsidR="004D0448">
        <w:rPr>
          <w:rFonts w:ascii="Arial" w:hAnsi="Arial" w:cs="Arial"/>
          <w:b/>
          <w:szCs w:val="24"/>
        </w:rPr>
        <w:t xml:space="preserve">inteiros e </w:t>
      </w:r>
      <w:r w:rsidR="002C1D9D">
        <w:rPr>
          <w:rFonts w:ascii="Arial" w:hAnsi="Arial" w:cs="Arial"/>
          <w:b/>
          <w:szCs w:val="24"/>
        </w:rPr>
        <w:t xml:space="preserve">quarenta e </w:t>
      </w:r>
      <w:r w:rsidR="00335371">
        <w:rPr>
          <w:rFonts w:ascii="Arial" w:hAnsi="Arial" w:cs="Arial"/>
          <w:b/>
          <w:szCs w:val="24"/>
        </w:rPr>
        <w:t>três</w:t>
      </w:r>
      <w:r w:rsidR="00490A44">
        <w:rPr>
          <w:rFonts w:ascii="Arial" w:hAnsi="Arial" w:cs="Arial"/>
          <w:b/>
          <w:szCs w:val="24"/>
        </w:rPr>
        <w:t xml:space="preserve"> </w:t>
      </w:r>
      <w:r w:rsidR="004D0448">
        <w:rPr>
          <w:rFonts w:ascii="Arial" w:hAnsi="Arial" w:cs="Arial"/>
          <w:b/>
          <w:szCs w:val="24"/>
        </w:rPr>
        <w:t xml:space="preserve">centésimos </w:t>
      </w:r>
      <w:r w:rsidRPr="003A15D5">
        <w:rPr>
          <w:rFonts w:ascii="Arial" w:hAnsi="Arial" w:cs="Arial"/>
          <w:b/>
          <w:szCs w:val="24"/>
        </w:rPr>
        <w:t>por cento)</w:t>
      </w:r>
      <w:r w:rsidRPr="00A172FB">
        <w:rPr>
          <w:rFonts w:ascii="Arial" w:hAnsi="Arial" w:cs="Arial"/>
          <w:szCs w:val="24"/>
        </w:rPr>
        <w:t xml:space="preserve"> ao ano de taxa de juros, acrescida da variação do IPCA – Índice de Preços ao Consumidor Amplo, medido pelo IBGE – Instituto Brasileiro de Geografia e Estatística, obedecendo aos limites de riscos por emissão e por segmento, bem como aos princípios de boa governança, da segurança, rentabilidade, solvência, liquidez e transparência, estabelecidos nesta Política Anual de Investimentos.</w:t>
      </w:r>
    </w:p>
    <w:p w:rsidR="00CF771B" w:rsidRPr="00A172FB" w:rsidRDefault="00CF771B" w:rsidP="00CF771B">
      <w:pPr>
        <w:keepLines/>
        <w:spacing w:line="360" w:lineRule="auto"/>
        <w:ind w:firstLine="709"/>
        <w:jc w:val="both"/>
        <w:rPr>
          <w:rFonts w:ascii="Arial" w:hAnsi="Arial" w:cs="Arial"/>
          <w:szCs w:val="24"/>
        </w:rPr>
      </w:pPr>
      <w:r w:rsidRPr="00A172FB">
        <w:rPr>
          <w:rFonts w:ascii="Arial" w:hAnsi="Arial" w:cs="Arial"/>
          <w:szCs w:val="24"/>
        </w:rPr>
        <w:lastRenderedPageBreak/>
        <w:t>A Política Anual de Investimentos tem ainda, como objetivo especifico zelar pela eficiência na condução das operações relativas às aplicações dos recursos em moeda corrente cuja origem vem das contribuições dos servidores, do ente e das compensações previdenciárias, descontadas as despesas administrativas, buscando alocar os investimentos em instituições que possuam solidez patrimonial e grande experiência positiva no exercício da atividade de administração de grande volume de recursos.</w:t>
      </w:r>
    </w:p>
    <w:p w:rsidR="00CF771B" w:rsidRPr="00A172FB" w:rsidRDefault="00CF771B" w:rsidP="00CF771B">
      <w:pPr>
        <w:keepLines/>
        <w:spacing w:line="360" w:lineRule="auto"/>
        <w:ind w:firstLine="709"/>
        <w:jc w:val="both"/>
        <w:rPr>
          <w:rFonts w:ascii="Arial" w:hAnsi="Arial" w:cs="Arial"/>
          <w:szCs w:val="24"/>
        </w:rPr>
      </w:pPr>
      <w:r w:rsidRPr="00A172FB">
        <w:rPr>
          <w:rFonts w:ascii="Arial" w:hAnsi="Arial" w:cs="Arial"/>
          <w:szCs w:val="24"/>
        </w:rPr>
        <w:t>Os responsáveis pela gestão do regime próprio de previdência social,</w:t>
      </w:r>
      <w:r w:rsidRPr="00A172FB">
        <w:rPr>
          <w:rFonts w:ascii="Arial" w:hAnsi="Arial" w:cs="Arial"/>
          <w:color w:val="FF0000"/>
          <w:szCs w:val="24"/>
        </w:rPr>
        <w:t xml:space="preserve"> </w:t>
      </w:r>
      <w:r w:rsidRPr="00A172FB">
        <w:rPr>
          <w:rFonts w:ascii="Arial" w:hAnsi="Arial" w:cs="Arial"/>
          <w:color w:val="000000" w:themeColor="text1"/>
          <w:szCs w:val="24"/>
        </w:rPr>
        <w:t xml:space="preserve">representados pelos seus dirigentes, membros do Comitê de Investimentos e dos Conselhos Previdenciário e </w:t>
      </w:r>
      <w:r w:rsidRPr="002C773C">
        <w:rPr>
          <w:rFonts w:ascii="Arial" w:hAnsi="Arial" w:cs="Arial"/>
          <w:color w:val="000000" w:themeColor="text1"/>
          <w:szCs w:val="24"/>
        </w:rPr>
        <w:t>Fiscal,</w:t>
      </w:r>
      <w:r w:rsidRPr="00A172FB">
        <w:rPr>
          <w:rFonts w:ascii="Arial" w:hAnsi="Arial" w:cs="Arial"/>
          <w:szCs w:val="24"/>
        </w:rPr>
        <w:t xml:space="preserve"> deverão manter motivação, ad</w:t>
      </w:r>
      <w:r>
        <w:rPr>
          <w:rFonts w:ascii="Arial" w:hAnsi="Arial" w:cs="Arial"/>
          <w:szCs w:val="24"/>
        </w:rPr>
        <w:t>equação à natureza do RPPS, boa-</w:t>
      </w:r>
      <w:r w:rsidRPr="00A172FB">
        <w:rPr>
          <w:rFonts w:ascii="Arial" w:hAnsi="Arial" w:cs="Arial"/>
          <w:szCs w:val="24"/>
        </w:rPr>
        <w:t>fé, lealdade, diligência e zelar por elevados padrões éticos, para assegurar o cumprimento dos princípios e diretrizes estabelecidos na Resolução n.º 3.922/2010</w:t>
      </w:r>
      <w:r>
        <w:rPr>
          <w:rFonts w:ascii="Arial" w:hAnsi="Arial" w:cs="Arial"/>
          <w:szCs w:val="24"/>
        </w:rPr>
        <w:t xml:space="preserve"> e suas posteriores alterações</w:t>
      </w:r>
      <w:r w:rsidRPr="00A172FB">
        <w:rPr>
          <w:rFonts w:ascii="Arial" w:hAnsi="Arial" w:cs="Arial"/>
          <w:szCs w:val="24"/>
        </w:rPr>
        <w:t xml:space="preserve">. </w:t>
      </w:r>
      <w:r w:rsidRPr="00A172FB">
        <w:rPr>
          <w:rFonts w:ascii="Arial" w:hAnsi="Arial" w:cs="Arial"/>
          <w:color w:val="000000" w:themeColor="text1"/>
          <w:szCs w:val="24"/>
        </w:rPr>
        <w:t xml:space="preserve">Para tanto, devem </w:t>
      </w:r>
      <w:r w:rsidRPr="00A172FB">
        <w:rPr>
          <w:rFonts w:ascii="Arial" w:hAnsi="Arial" w:cs="Arial"/>
          <w:color w:val="000000" w:themeColor="text1"/>
        </w:rPr>
        <w:t>adotar regras, procedimentos e controles internos que visem garantir o cumprimento de suas obrigações, respeitando a política de investimentos estabelecida, observados os segmentos, limites e demais requisitos previstos nesta Resolução e os parâmetros estabelecidos nas normas gerais de organização e funcionamento desses regimes, em regulamentação da Secretaria de Previdência do Ministério da Fazenda</w:t>
      </w:r>
      <w:r w:rsidR="00A61758">
        <w:rPr>
          <w:rFonts w:ascii="Arial" w:hAnsi="Arial" w:cs="Arial"/>
          <w:color w:val="000000" w:themeColor="text1"/>
        </w:rPr>
        <w:t>.</w:t>
      </w:r>
      <w:r w:rsidR="00A61758">
        <w:rPr>
          <w:rFonts w:ascii="Arial" w:hAnsi="Arial" w:cs="Arial"/>
          <w:szCs w:val="24"/>
        </w:rPr>
        <w:t xml:space="preserve"> O</w:t>
      </w:r>
      <w:r w:rsidRPr="00A172FB">
        <w:rPr>
          <w:rFonts w:ascii="Arial" w:hAnsi="Arial" w:cs="Arial"/>
          <w:szCs w:val="24"/>
        </w:rPr>
        <w:t>s participantes do processo decisório dos investimentos deverão comprovar experiência profissional e conhecimento técnico conforme requisitos estabelecidos nas normas gerais para os RPPS.</w:t>
      </w:r>
    </w:p>
    <w:p w:rsidR="00CF771B" w:rsidRPr="00A172FB" w:rsidRDefault="00CF771B" w:rsidP="00CF771B">
      <w:pPr>
        <w:keepLines/>
        <w:spacing w:line="360" w:lineRule="auto"/>
        <w:ind w:firstLine="709"/>
        <w:jc w:val="both"/>
        <w:rPr>
          <w:rFonts w:ascii="Arial" w:hAnsi="Arial" w:cs="Arial"/>
          <w:color w:val="000000" w:themeColor="text1"/>
          <w:szCs w:val="24"/>
        </w:rPr>
      </w:pPr>
      <w:r w:rsidRPr="00A172FB">
        <w:rPr>
          <w:rFonts w:ascii="Arial" w:hAnsi="Arial" w:cs="Arial"/>
          <w:color w:val="000000" w:themeColor="text1"/>
        </w:rPr>
        <w:t>Este regime próprio de previdência social deve definir claramente a separação de responsabilidades de todos os agentes que participem do processo de análise, avaliação, gerenciamento, assessoramento e decisão sobre a aplicação dos recursos, inclusive com a definição das alçadas de decisão de cada instância.</w:t>
      </w:r>
    </w:p>
    <w:p w:rsidR="00CF771B" w:rsidRDefault="00CF771B" w:rsidP="00CF771B">
      <w:pPr>
        <w:keepLines/>
        <w:spacing w:line="360" w:lineRule="auto"/>
        <w:ind w:firstLine="709"/>
        <w:jc w:val="both"/>
        <w:rPr>
          <w:rFonts w:ascii="Arial" w:hAnsi="Arial" w:cs="Arial"/>
          <w:szCs w:val="24"/>
        </w:rPr>
      </w:pPr>
      <w:r w:rsidRPr="00A172FB">
        <w:rPr>
          <w:rFonts w:ascii="Arial" w:hAnsi="Arial" w:cs="Arial"/>
          <w:szCs w:val="24"/>
        </w:rPr>
        <w:t xml:space="preserve">Caso ocorram mudanças na legislação que, de alguma forma, tornem as diretrizes inadequadas, durante a vigência deste instrumento, esta Política e procedimentos dela decorrentes poderão ser revisados no curso de sua execução, de forma a evitar exposição desnecessária a riscos, </w:t>
      </w:r>
      <w:r w:rsidRPr="00A172FB">
        <w:rPr>
          <w:rFonts w:ascii="Arial" w:hAnsi="Arial" w:cs="Arial"/>
          <w:color w:val="000000" w:themeColor="text1"/>
          <w:szCs w:val="24"/>
        </w:rPr>
        <w:t>atendendo assim atuais e novas diretrizes legais e</w:t>
      </w:r>
      <w:r w:rsidRPr="00A172FB">
        <w:rPr>
          <w:rFonts w:ascii="Arial" w:hAnsi="Arial" w:cs="Arial"/>
          <w:color w:val="FF0000"/>
          <w:szCs w:val="24"/>
        </w:rPr>
        <w:t xml:space="preserve"> </w:t>
      </w:r>
      <w:r w:rsidRPr="00A172FB">
        <w:rPr>
          <w:rFonts w:ascii="Arial" w:hAnsi="Arial" w:cs="Arial"/>
          <w:szCs w:val="24"/>
        </w:rPr>
        <w:t>preservando os interesses dos servidores deste RPPS.</w:t>
      </w:r>
    </w:p>
    <w:p w:rsidR="00A61758" w:rsidRDefault="00A61758" w:rsidP="00CF771B">
      <w:pPr>
        <w:keepLines/>
        <w:spacing w:line="360" w:lineRule="auto"/>
        <w:ind w:firstLine="709"/>
        <w:jc w:val="both"/>
        <w:rPr>
          <w:rFonts w:ascii="Arial" w:hAnsi="Arial" w:cs="Arial"/>
          <w:szCs w:val="24"/>
        </w:rPr>
      </w:pPr>
    </w:p>
    <w:p w:rsidR="00A61758" w:rsidRDefault="00A61758" w:rsidP="00CF771B">
      <w:pPr>
        <w:keepLines/>
        <w:spacing w:line="360" w:lineRule="auto"/>
        <w:ind w:firstLine="709"/>
        <w:jc w:val="both"/>
        <w:rPr>
          <w:rFonts w:ascii="Arial" w:hAnsi="Arial" w:cs="Arial"/>
          <w:szCs w:val="24"/>
        </w:rPr>
      </w:pPr>
    </w:p>
    <w:p w:rsidR="00CF771B" w:rsidRPr="00A172FB" w:rsidRDefault="00CF771B" w:rsidP="00CF771B">
      <w:pPr>
        <w:pStyle w:val="Ttulo1"/>
        <w:jc w:val="both"/>
        <w:rPr>
          <w:rFonts w:ascii="Arial" w:hAnsi="Arial" w:cs="Arial"/>
          <w:sz w:val="22"/>
          <w:szCs w:val="22"/>
        </w:rPr>
      </w:pPr>
      <w:bookmarkStart w:id="5" w:name="_Toc536189694"/>
      <w:bookmarkStart w:id="6" w:name="_Toc20133922"/>
      <w:proofErr w:type="gramStart"/>
      <w:r w:rsidRPr="00A172FB">
        <w:rPr>
          <w:rFonts w:ascii="Arial" w:hAnsi="Arial" w:cs="Arial"/>
          <w:color w:val="000000" w:themeColor="text1"/>
          <w:sz w:val="22"/>
          <w:szCs w:val="22"/>
        </w:rPr>
        <w:lastRenderedPageBreak/>
        <w:t>3 - DEFINIÇÃO</w:t>
      </w:r>
      <w:proofErr w:type="gramEnd"/>
      <w:r w:rsidRPr="00A172FB">
        <w:rPr>
          <w:rFonts w:ascii="Arial" w:hAnsi="Arial" w:cs="Arial"/>
          <w:color w:val="000000" w:themeColor="text1"/>
          <w:sz w:val="22"/>
          <w:szCs w:val="22"/>
        </w:rPr>
        <w:t xml:space="preserve"> DA METODOLOGIA DE SELEÇÃO DE INVESTIMENTOS</w:t>
      </w:r>
      <w:bookmarkEnd w:id="5"/>
      <w:bookmarkEnd w:id="6"/>
    </w:p>
    <w:p w:rsidR="00CF771B" w:rsidRPr="00A172FB" w:rsidRDefault="00CF771B" w:rsidP="00CF771B">
      <w:pPr>
        <w:keepLines/>
        <w:spacing w:line="360" w:lineRule="auto"/>
        <w:jc w:val="both"/>
        <w:rPr>
          <w:rFonts w:ascii="Arial" w:hAnsi="Arial" w:cs="Arial"/>
          <w:szCs w:val="24"/>
        </w:rPr>
      </w:pPr>
    </w:p>
    <w:p w:rsidR="00CF771B" w:rsidRDefault="00CF771B" w:rsidP="00CF771B">
      <w:pPr>
        <w:keepLines/>
        <w:spacing w:line="360" w:lineRule="auto"/>
        <w:ind w:firstLine="709"/>
        <w:jc w:val="both"/>
        <w:rPr>
          <w:rFonts w:ascii="Arial" w:hAnsi="Arial" w:cs="Arial"/>
          <w:szCs w:val="24"/>
        </w:rPr>
      </w:pPr>
      <w:r w:rsidRPr="00A172FB">
        <w:rPr>
          <w:rFonts w:ascii="Arial" w:hAnsi="Arial" w:cs="Arial"/>
          <w:szCs w:val="24"/>
        </w:rPr>
        <w:t>O Comitê de Investimentos contendo, no total de sua composição, a maioria de seus membros certificados</w:t>
      </w:r>
      <w:r w:rsidRPr="00A172FB">
        <w:rPr>
          <w:rStyle w:val="Refdenotaderodap"/>
          <w:rFonts w:ascii="Arial" w:hAnsi="Arial" w:cs="Arial"/>
          <w:szCs w:val="24"/>
        </w:rPr>
        <w:footnoteReference w:id="1"/>
      </w:r>
      <w:r w:rsidRPr="00A172FB">
        <w:rPr>
          <w:rFonts w:ascii="Arial" w:hAnsi="Arial" w:cs="Arial"/>
          <w:szCs w:val="24"/>
        </w:rPr>
        <w:t>, constituído por ato será um órgão auxiliar do processo decisório quanto à formulação e execução desta política de investimento.</w:t>
      </w:r>
    </w:p>
    <w:p w:rsidR="00CF771B" w:rsidRPr="00A172FB" w:rsidRDefault="00CF771B" w:rsidP="00CF771B">
      <w:pPr>
        <w:keepLines/>
        <w:spacing w:line="360" w:lineRule="auto"/>
        <w:ind w:firstLine="709"/>
        <w:jc w:val="both"/>
        <w:rPr>
          <w:rFonts w:ascii="Arial" w:hAnsi="Arial" w:cs="Arial"/>
          <w:color w:val="000000" w:themeColor="text1"/>
          <w:szCs w:val="24"/>
        </w:rPr>
      </w:pPr>
      <w:r w:rsidRPr="00A172FB">
        <w:rPr>
          <w:rFonts w:ascii="Arial" w:hAnsi="Arial" w:cs="Arial"/>
          <w:szCs w:val="24"/>
        </w:rPr>
        <w:t xml:space="preserve">Zelar pela integridade e imparcialidade dos membros do Comitê de Investimentos, na condução e execução das operações de investimentos e desinvestimentos, com padrão ético e eficiência dos procedimentos técnicos, operacionais e de controle das aplicações, podendo contar com o assessoramento técnico profissional de instituições registradas na CVM que, comprovadamente, atuem na análise do mercado </w:t>
      </w:r>
      <w:r w:rsidRPr="00A172FB">
        <w:rPr>
          <w:rFonts w:ascii="Arial" w:hAnsi="Arial" w:cs="Arial"/>
          <w:color w:val="000000" w:themeColor="text1"/>
          <w:szCs w:val="24"/>
        </w:rPr>
        <w:t>financeiro e</w:t>
      </w:r>
      <w:r w:rsidRPr="00A172FB">
        <w:rPr>
          <w:rFonts w:ascii="Arial" w:hAnsi="Arial" w:cs="Arial"/>
          <w:color w:val="FF0000"/>
          <w:szCs w:val="24"/>
        </w:rPr>
        <w:t xml:space="preserve"> </w:t>
      </w:r>
      <w:r w:rsidRPr="00A172FB">
        <w:rPr>
          <w:rFonts w:ascii="Arial" w:hAnsi="Arial" w:cs="Arial"/>
          <w:szCs w:val="24"/>
        </w:rPr>
        <w:t xml:space="preserve">de capitais, de sorte a garantir maior segurança nas decisões que envolvem alocações de recursos. </w:t>
      </w:r>
      <w:r w:rsidRPr="00A172FB">
        <w:rPr>
          <w:rFonts w:ascii="Arial" w:hAnsi="Arial" w:cs="Arial"/>
          <w:color w:val="000000" w:themeColor="text1"/>
          <w:szCs w:val="24"/>
        </w:rPr>
        <w:t xml:space="preserve">Ressalte-se que também se incluem como responsáveis pela gestão dos recursos </w:t>
      </w:r>
      <w:r w:rsidRPr="00A172FB">
        <w:rPr>
          <w:rFonts w:ascii="Arial" w:hAnsi="Arial" w:cs="Arial"/>
          <w:color w:val="000000" w:themeColor="text1"/>
        </w:rPr>
        <w:t>os consultores e outros profissionais que participem do processo de análise, de assessoramento e decisório sobre a aplicação dos recursos do regime próprio de previdência social, diretamente ou por intermédio de pessoa jurídica contratada e os agentes que participam da distribuição, intermediação e administração dos ativos aplicados por esses regimes</w:t>
      </w:r>
      <w:r>
        <w:rPr>
          <w:rFonts w:ascii="Arial" w:hAnsi="Arial" w:cs="Arial"/>
          <w:color w:val="000000" w:themeColor="text1"/>
        </w:rPr>
        <w:t>.</w:t>
      </w:r>
    </w:p>
    <w:p w:rsidR="00CF771B" w:rsidRPr="00A172FB" w:rsidRDefault="00CF771B" w:rsidP="00CF771B">
      <w:pPr>
        <w:keepLines/>
        <w:spacing w:line="360" w:lineRule="auto"/>
        <w:ind w:firstLine="709"/>
        <w:jc w:val="both"/>
        <w:rPr>
          <w:rFonts w:ascii="Arial" w:hAnsi="Arial" w:cs="Arial"/>
          <w:color w:val="000000" w:themeColor="text1"/>
          <w:szCs w:val="24"/>
        </w:rPr>
      </w:pPr>
      <w:r w:rsidRPr="00A172FB">
        <w:rPr>
          <w:rFonts w:ascii="Arial" w:hAnsi="Arial" w:cs="Arial"/>
          <w:szCs w:val="24"/>
        </w:rPr>
        <w:t xml:space="preserve">Somente os fundos de investimentos e instituições credenciadas poderão obter aplicações dos recursos deste RPPS, conforme redação dada pela Portaria nº 519/2011, Art. </w:t>
      </w:r>
      <w:r w:rsidRPr="00A172FB">
        <w:rPr>
          <w:rFonts w:ascii="Arial" w:hAnsi="Arial" w:cs="Arial"/>
          <w:color w:val="000000" w:themeColor="text1"/>
          <w:szCs w:val="24"/>
        </w:rPr>
        <w:t xml:space="preserve">3º e posteriores normativos da Secretaria de Previdência. Os investimentos específicos são definidos com base na avaliação risco/retorno e oportunidade, tanto macroeconômica quanto em relação </w:t>
      </w:r>
      <w:proofErr w:type="gramStart"/>
      <w:r w:rsidRPr="00A172FB">
        <w:rPr>
          <w:rFonts w:ascii="Arial" w:hAnsi="Arial" w:cs="Arial"/>
          <w:color w:val="000000" w:themeColor="text1"/>
          <w:szCs w:val="24"/>
        </w:rPr>
        <w:t>a</w:t>
      </w:r>
      <w:proofErr w:type="gramEnd"/>
      <w:r w:rsidRPr="00A172FB">
        <w:rPr>
          <w:rFonts w:ascii="Arial" w:hAnsi="Arial" w:cs="Arial"/>
          <w:color w:val="000000" w:themeColor="text1"/>
          <w:szCs w:val="24"/>
        </w:rPr>
        <w:t xml:space="preserve"> carteira de investimentos no contexto global do RPPS.</w:t>
      </w:r>
    </w:p>
    <w:p w:rsidR="00CF771B" w:rsidRPr="00A172FB" w:rsidRDefault="00CF771B" w:rsidP="00CF771B">
      <w:pPr>
        <w:keepLines/>
        <w:spacing w:line="360" w:lineRule="auto"/>
        <w:ind w:firstLine="709"/>
        <w:jc w:val="both"/>
        <w:rPr>
          <w:rFonts w:ascii="Arial" w:hAnsi="Arial" w:cs="Arial"/>
          <w:szCs w:val="24"/>
        </w:rPr>
      </w:pPr>
      <w:r w:rsidRPr="00A172FB">
        <w:rPr>
          <w:rFonts w:ascii="Arial" w:hAnsi="Arial" w:cs="Arial"/>
          <w:color w:val="000000"/>
          <w:szCs w:val="24"/>
        </w:rPr>
        <w:t>Individualmente, os retornos dos ativos são projetados com base em um modelo que parte do cenário macroeconômico (global e local) e projeta os impactos desse cenário para o comportamento da curva futura de juros no caso da Renda Fixa, e para os diversos setores econômicos e empresas no caso da Renda Variável.</w:t>
      </w:r>
    </w:p>
    <w:p w:rsidR="00CF771B" w:rsidRPr="00A172FB" w:rsidRDefault="00CF771B" w:rsidP="00CF771B">
      <w:pPr>
        <w:keepLines/>
        <w:spacing w:line="360" w:lineRule="auto"/>
        <w:ind w:firstLine="709"/>
        <w:jc w:val="both"/>
        <w:rPr>
          <w:rFonts w:ascii="Arial" w:hAnsi="Arial" w:cs="Arial"/>
          <w:color w:val="000000"/>
          <w:szCs w:val="24"/>
        </w:rPr>
      </w:pPr>
      <w:r w:rsidRPr="00A172FB">
        <w:rPr>
          <w:rFonts w:ascii="Arial" w:hAnsi="Arial" w:cs="Arial"/>
          <w:color w:val="000000"/>
          <w:szCs w:val="24"/>
        </w:rPr>
        <w:t>As informações utilizadas para a construção dos cenários e modelos</w:t>
      </w:r>
      <w:r w:rsidRPr="002C773C">
        <w:rPr>
          <w:rFonts w:ascii="Arial" w:hAnsi="Arial" w:cs="Arial"/>
          <w:color w:val="000000" w:themeColor="text1"/>
          <w:szCs w:val="24"/>
        </w:rPr>
        <w:t>,</w:t>
      </w:r>
      <w:r w:rsidRPr="00A172FB">
        <w:rPr>
          <w:rFonts w:ascii="Arial" w:hAnsi="Arial" w:cs="Arial"/>
          <w:color w:val="FF0000"/>
          <w:szCs w:val="24"/>
        </w:rPr>
        <w:t xml:space="preserve"> </w:t>
      </w:r>
      <w:r w:rsidRPr="00A172FB">
        <w:rPr>
          <w:rFonts w:ascii="Arial" w:hAnsi="Arial" w:cs="Arial"/>
          <w:color w:val="000000" w:themeColor="text1"/>
          <w:szCs w:val="24"/>
        </w:rPr>
        <w:t xml:space="preserve">bem como a serem utilizadas para as </w:t>
      </w:r>
      <w:r w:rsidRPr="00A172FB">
        <w:rPr>
          <w:rFonts w:ascii="Arial" w:hAnsi="Arial" w:cs="Arial"/>
          <w:color w:val="000000" w:themeColor="text1"/>
        </w:rPr>
        <w:t>fontes de referência a serem adotados para precificação dos ativos</w:t>
      </w:r>
      <w:r>
        <w:rPr>
          <w:rFonts w:ascii="Arial" w:hAnsi="Arial" w:cs="Arial"/>
          <w:color w:val="000000" w:themeColor="text1"/>
          <w:szCs w:val="24"/>
        </w:rPr>
        <w:t xml:space="preserve"> </w:t>
      </w:r>
      <w:r w:rsidRPr="00A172FB">
        <w:rPr>
          <w:rFonts w:ascii="Arial" w:hAnsi="Arial" w:cs="Arial"/>
          <w:color w:val="000000" w:themeColor="text1"/>
          <w:szCs w:val="24"/>
        </w:rPr>
        <w:t>s</w:t>
      </w:r>
      <w:r>
        <w:rPr>
          <w:rFonts w:ascii="Arial" w:hAnsi="Arial" w:cs="Arial"/>
          <w:color w:val="000000"/>
          <w:szCs w:val="24"/>
        </w:rPr>
        <w:t>erão</w:t>
      </w:r>
      <w:r w:rsidRPr="00A172FB">
        <w:rPr>
          <w:rFonts w:ascii="Arial" w:hAnsi="Arial" w:cs="Arial"/>
          <w:color w:val="000000"/>
          <w:szCs w:val="24"/>
        </w:rPr>
        <w:t xml:space="preserve"> obtidas de fontes públicas e de consultorias privadas.</w:t>
      </w:r>
    </w:p>
    <w:p w:rsidR="00CF771B" w:rsidRPr="00A172FB" w:rsidRDefault="00CF771B" w:rsidP="00CF771B">
      <w:pPr>
        <w:keepLines/>
        <w:spacing w:line="360" w:lineRule="auto"/>
        <w:ind w:firstLine="709"/>
        <w:jc w:val="both"/>
        <w:rPr>
          <w:rFonts w:ascii="Arial" w:hAnsi="Arial" w:cs="Arial"/>
          <w:color w:val="000000"/>
          <w:szCs w:val="24"/>
        </w:rPr>
      </w:pPr>
    </w:p>
    <w:p w:rsidR="00CF771B" w:rsidRDefault="00CF771B" w:rsidP="00CF771B">
      <w:pPr>
        <w:keepLines/>
        <w:spacing w:line="360" w:lineRule="auto"/>
        <w:ind w:firstLine="709"/>
        <w:jc w:val="both"/>
        <w:rPr>
          <w:rFonts w:ascii="Arial" w:hAnsi="Arial" w:cs="Arial"/>
          <w:color w:val="000000" w:themeColor="text1"/>
        </w:rPr>
      </w:pPr>
      <w:r w:rsidRPr="00A172FB">
        <w:rPr>
          <w:rFonts w:ascii="Arial" w:hAnsi="Arial" w:cs="Arial"/>
          <w:color w:val="000000" w:themeColor="text1"/>
        </w:rPr>
        <w:lastRenderedPageBreak/>
        <w:t xml:space="preserve">O plano de contingência, a ser aplicado no exercício seguinte, com as medidas a serem adotadas em caso de descumprimento dos limites e requisitos previstos na Resolução </w:t>
      </w:r>
      <w:r w:rsidR="00762C3E">
        <w:rPr>
          <w:rFonts w:ascii="Arial" w:hAnsi="Arial" w:cs="Arial"/>
          <w:color w:val="000000" w:themeColor="text1"/>
        </w:rPr>
        <w:t xml:space="preserve">CMN </w:t>
      </w:r>
      <w:r w:rsidRPr="00A172FB">
        <w:rPr>
          <w:rFonts w:ascii="Arial" w:hAnsi="Arial" w:cs="Arial"/>
          <w:color w:val="000000" w:themeColor="text1"/>
        </w:rPr>
        <w:t>3.922/</w:t>
      </w:r>
      <w:r w:rsidR="00762C3E">
        <w:rPr>
          <w:rFonts w:ascii="Arial" w:hAnsi="Arial" w:cs="Arial"/>
          <w:color w:val="000000" w:themeColor="text1"/>
        </w:rPr>
        <w:t xml:space="preserve"> 20</w:t>
      </w:r>
      <w:r w:rsidRPr="00A172FB">
        <w:rPr>
          <w:rFonts w:ascii="Arial" w:hAnsi="Arial" w:cs="Arial"/>
          <w:color w:val="000000" w:themeColor="text1"/>
        </w:rPr>
        <w:t>10</w:t>
      </w:r>
      <w:r>
        <w:rPr>
          <w:rFonts w:ascii="Arial" w:hAnsi="Arial" w:cs="Arial"/>
          <w:color w:val="000000" w:themeColor="text1"/>
        </w:rPr>
        <w:t xml:space="preserve"> (e suas posteriores alterações)</w:t>
      </w:r>
      <w:r w:rsidRPr="00A172FB">
        <w:rPr>
          <w:rFonts w:ascii="Arial" w:hAnsi="Arial" w:cs="Arial"/>
          <w:color w:val="000000" w:themeColor="text1"/>
        </w:rPr>
        <w:t xml:space="preserve"> e dos parâmetros estabelecidos nas normas gerais dos regimes próprios de previdência social, de excessiva exposição a riscos ou de potenciais perdas dos recursos será feito diante de fatos concretos e obrigará a uma revisão desta política de investimento.</w:t>
      </w:r>
    </w:p>
    <w:p w:rsidR="00CF771B" w:rsidRPr="00A172FB" w:rsidRDefault="00CF771B" w:rsidP="00CF771B">
      <w:pPr>
        <w:keepLines/>
        <w:spacing w:line="360" w:lineRule="auto"/>
        <w:ind w:firstLine="709"/>
        <w:jc w:val="both"/>
        <w:rPr>
          <w:rFonts w:ascii="Arial" w:hAnsi="Arial" w:cs="Arial"/>
          <w:b/>
          <w:szCs w:val="24"/>
        </w:rPr>
      </w:pPr>
      <w:r w:rsidRPr="00A172FB">
        <w:rPr>
          <w:rFonts w:ascii="Arial" w:hAnsi="Arial" w:cs="Arial"/>
          <w:b/>
          <w:szCs w:val="24"/>
        </w:rPr>
        <w:t>Os investimentos poderão acontecer de forma direta e/ou indireta:</w:t>
      </w:r>
    </w:p>
    <w:p w:rsidR="00CF771B" w:rsidRDefault="00CF771B" w:rsidP="00CF771B">
      <w:pPr>
        <w:keepLines/>
        <w:spacing w:line="360" w:lineRule="auto"/>
        <w:ind w:firstLine="709"/>
        <w:jc w:val="both"/>
        <w:rPr>
          <w:rFonts w:ascii="Arial" w:hAnsi="Arial" w:cs="Arial"/>
          <w:color w:val="000000" w:themeColor="text1"/>
          <w:szCs w:val="24"/>
        </w:rPr>
      </w:pPr>
      <w:r w:rsidRPr="00A172FB">
        <w:rPr>
          <w:rFonts w:ascii="Arial" w:hAnsi="Arial" w:cs="Arial"/>
          <w:b/>
          <w:szCs w:val="24"/>
        </w:rPr>
        <w:t>Forma Direta</w:t>
      </w:r>
      <w:r w:rsidRPr="00A172FB">
        <w:rPr>
          <w:rFonts w:ascii="Arial" w:hAnsi="Arial" w:cs="Arial"/>
          <w:szCs w:val="24"/>
        </w:rPr>
        <w:t xml:space="preserve">: quando o(s) investimento(s) ou desinvestimento(s) ocorrerem via Títulos Públicos Federais ou operações </w:t>
      </w:r>
      <w:r w:rsidRPr="00A172FB">
        <w:rPr>
          <w:rFonts w:ascii="Arial" w:hAnsi="Arial" w:cs="Arial"/>
          <w:color w:val="000000" w:themeColor="text1"/>
          <w:szCs w:val="24"/>
        </w:rPr>
        <w:t xml:space="preserve">compromissadas e Certificados de Depósito Bancário – CDB, dentro dos limites permitidos pela Resolução </w:t>
      </w:r>
      <w:r>
        <w:rPr>
          <w:rFonts w:ascii="Arial" w:hAnsi="Arial" w:cs="Arial"/>
          <w:color w:val="000000" w:themeColor="text1"/>
          <w:szCs w:val="24"/>
        </w:rPr>
        <w:t xml:space="preserve">CMN </w:t>
      </w:r>
      <w:r w:rsidRPr="00A172FB">
        <w:rPr>
          <w:rFonts w:ascii="Arial" w:hAnsi="Arial" w:cs="Arial"/>
          <w:color w:val="000000" w:themeColor="text1"/>
          <w:szCs w:val="24"/>
        </w:rPr>
        <w:t>3.922/</w:t>
      </w:r>
      <w:r w:rsidR="00962B29">
        <w:rPr>
          <w:rFonts w:ascii="Arial" w:hAnsi="Arial" w:cs="Arial"/>
          <w:color w:val="000000" w:themeColor="text1"/>
          <w:szCs w:val="24"/>
        </w:rPr>
        <w:t xml:space="preserve"> 20</w:t>
      </w:r>
      <w:r w:rsidRPr="00A172FB">
        <w:rPr>
          <w:rFonts w:ascii="Arial" w:hAnsi="Arial" w:cs="Arial"/>
          <w:color w:val="000000" w:themeColor="text1"/>
          <w:szCs w:val="24"/>
        </w:rPr>
        <w:t>10</w:t>
      </w:r>
      <w:r w:rsidR="002C773C">
        <w:rPr>
          <w:rFonts w:ascii="Arial" w:hAnsi="Arial" w:cs="Arial"/>
          <w:color w:val="000000" w:themeColor="text1"/>
          <w:szCs w:val="24"/>
        </w:rPr>
        <w:t xml:space="preserve"> e suas posteriores alterações.</w:t>
      </w:r>
    </w:p>
    <w:p w:rsidR="00CF771B" w:rsidRPr="00A172FB" w:rsidRDefault="00CF771B" w:rsidP="00CF771B">
      <w:pPr>
        <w:keepLines/>
        <w:spacing w:line="360" w:lineRule="auto"/>
        <w:ind w:firstLine="709"/>
        <w:jc w:val="both"/>
        <w:rPr>
          <w:rFonts w:ascii="Arial" w:hAnsi="Arial" w:cs="Arial"/>
          <w:b/>
          <w:szCs w:val="24"/>
        </w:rPr>
      </w:pPr>
      <w:r w:rsidRPr="00A172FB">
        <w:rPr>
          <w:rFonts w:ascii="Arial" w:hAnsi="Arial" w:cs="Arial"/>
          <w:b/>
          <w:szCs w:val="24"/>
        </w:rPr>
        <w:t>Forma Indireta</w:t>
      </w:r>
      <w:r w:rsidRPr="00A172FB">
        <w:rPr>
          <w:rFonts w:ascii="Arial" w:hAnsi="Arial" w:cs="Arial"/>
          <w:szCs w:val="24"/>
        </w:rPr>
        <w:t>: quando o</w:t>
      </w:r>
      <w:r w:rsidR="002E4951">
        <w:rPr>
          <w:rFonts w:ascii="Arial" w:hAnsi="Arial" w:cs="Arial"/>
          <w:szCs w:val="24"/>
        </w:rPr>
        <w:t xml:space="preserve"> </w:t>
      </w:r>
      <w:r w:rsidRPr="00A172FB">
        <w:rPr>
          <w:rFonts w:ascii="Arial" w:hAnsi="Arial" w:cs="Arial"/>
          <w:szCs w:val="24"/>
        </w:rPr>
        <w:t>(s) investimento</w:t>
      </w:r>
      <w:r w:rsidR="002E4951">
        <w:rPr>
          <w:rFonts w:ascii="Arial" w:hAnsi="Arial" w:cs="Arial"/>
          <w:szCs w:val="24"/>
        </w:rPr>
        <w:t xml:space="preserve"> </w:t>
      </w:r>
      <w:r w:rsidRPr="00A172FB">
        <w:rPr>
          <w:rFonts w:ascii="Arial" w:hAnsi="Arial" w:cs="Arial"/>
          <w:szCs w:val="24"/>
        </w:rPr>
        <w:t>(s) ou desinvestimento</w:t>
      </w:r>
      <w:r w:rsidR="002E4951">
        <w:rPr>
          <w:rFonts w:ascii="Arial" w:hAnsi="Arial" w:cs="Arial"/>
          <w:szCs w:val="24"/>
        </w:rPr>
        <w:t xml:space="preserve"> </w:t>
      </w:r>
      <w:r w:rsidRPr="00A172FB">
        <w:rPr>
          <w:rFonts w:ascii="Arial" w:hAnsi="Arial" w:cs="Arial"/>
          <w:szCs w:val="24"/>
        </w:rPr>
        <w:t>(s) ocorrerem via cotas de fundos investimentos também respeitando os limites desta Resolução.</w:t>
      </w:r>
    </w:p>
    <w:p w:rsidR="00CF771B" w:rsidRPr="00A172FB" w:rsidRDefault="00CF771B" w:rsidP="00CF771B">
      <w:pPr>
        <w:keepLines/>
        <w:spacing w:line="360" w:lineRule="auto"/>
        <w:ind w:firstLine="709"/>
        <w:jc w:val="both"/>
        <w:rPr>
          <w:rFonts w:ascii="Arial" w:hAnsi="Arial" w:cs="Arial"/>
          <w:b/>
          <w:szCs w:val="24"/>
        </w:rPr>
      </w:pPr>
      <w:r w:rsidRPr="00A172FB">
        <w:rPr>
          <w:rFonts w:ascii="Arial" w:eastAsia="Times New Roman" w:hAnsi="Arial" w:cs="Arial"/>
          <w:szCs w:val="24"/>
        </w:rPr>
        <w:t>Para fins de cômputo dos limites definidos nesta Política Anual de Investimentos, as aplicações no segmento de imóveis serão efetuadas exclusivamente com os imóveis transferidos por Lei para este RPPS e este investimento não entra no limite estabelecido</w:t>
      </w:r>
      <w:r w:rsidR="00962B29">
        <w:rPr>
          <w:rFonts w:ascii="Arial" w:eastAsia="Times New Roman" w:hAnsi="Arial" w:cs="Arial"/>
          <w:szCs w:val="24"/>
        </w:rPr>
        <w:t xml:space="preserve"> para os investimentos em </w:t>
      </w:r>
      <w:proofErr w:type="spellStart"/>
      <w:r w:rsidR="00962B29">
        <w:rPr>
          <w:rFonts w:ascii="Arial" w:eastAsia="Times New Roman" w:hAnsi="Arial" w:cs="Arial"/>
          <w:szCs w:val="24"/>
        </w:rPr>
        <w:t>FII’s</w:t>
      </w:r>
      <w:proofErr w:type="spellEnd"/>
      <w:r w:rsidR="00962B29">
        <w:rPr>
          <w:rFonts w:ascii="Arial" w:eastAsia="Times New Roman" w:hAnsi="Arial" w:cs="Arial"/>
          <w:szCs w:val="24"/>
        </w:rPr>
        <w:t xml:space="preserve"> – Fundos Imobiliários, </w:t>
      </w:r>
      <w:r w:rsidRPr="00A172FB">
        <w:rPr>
          <w:rFonts w:ascii="Arial" w:eastAsia="Times New Roman" w:hAnsi="Arial" w:cs="Arial"/>
          <w:szCs w:val="24"/>
        </w:rPr>
        <w:t>com negociação de suas cotas em bolsa e nem para o cálculo do patrimônio líquido do RPPS para efeito dos demais enquadramentos.</w:t>
      </w:r>
    </w:p>
    <w:p w:rsidR="00CF771B" w:rsidRPr="00A172FB" w:rsidRDefault="00CF771B" w:rsidP="00CF771B">
      <w:pPr>
        <w:keepLines/>
        <w:spacing w:line="360" w:lineRule="auto"/>
        <w:ind w:firstLine="709"/>
        <w:jc w:val="both"/>
        <w:rPr>
          <w:rFonts w:ascii="Arial" w:hAnsi="Arial" w:cs="Arial"/>
          <w:b/>
          <w:szCs w:val="24"/>
        </w:rPr>
      </w:pPr>
      <w:r w:rsidRPr="00A172FB">
        <w:rPr>
          <w:rFonts w:ascii="Arial" w:hAnsi="Arial" w:cs="Arial"/>
          <w:szCs w:val="24"/>
        </w:rPr>
        <w:t xml:space="preserve">No caso de investimentos em Títulos Públicos Federais só poderão ser realizadas por meio de plataformas </w:t>
      </w:r>
      <w:proofErr w:type="gramStart"/>
      <w:r w:rsidRPr="00A172FB">
        <w:rPr>
          <w:rFonts w:ascii="Arial" w:hAnsi="Arial" w:cs="Arial"/>
          <w:szCs w:val="24"/>
        </w:rPr>
        <w:t>eletrônicas administrados por sistemas autorizados a funcionar pelo Banco Central do Brasil ou pela Comissão de Valores Mobiliários</w:t>
      </w:r>
      <w:proofErr w:type="gramEnd"/>
      <w:r w:rsidRPr="00A172FB">
        <w:rPr>
          <w:rFonts w:ascii="Arial" w:hAnsi="Arial" w:cs="Arial"/>
          <w:szCs w:val="24"/>
        </w:rPr>
        <w:t>.</w:t>
      </w:r>
    </w:p>
    <w:p w:rsidR="00CF771B" w:rsidRPr="00D11100" w:rsidRDefault="00CF771B" w:rsidP="00CF771B">
      <w:pPr>
        <w:keepLines/>
        <w:spacing w:line="360" w:lineRule="auto"/>
        <w:ind w:firstLine="709"/>
        <w:jc w:val="both"/>
        <w:rPr>
          <w:rFonts w:ascii="Arial" w:hAnsi="Arial" w:cs="Arial"/>
          <w:szCs w:val="24"/>
        </w:rPr>
      </w:pPr>
      <w:r w:rsidRPr="00D11100">
        <w:rPr>
          <w:rFonts w:ascii="Arial" w:hAnsi="Arial" w:cs="Arial"/>
          <w:szCs w:val="24"/>
        </w:rPr>
        <w:t>Será permitida a contratação de consultorias independentes para auxiliar na definição dos investimentos e obrigações legais, desde que a consultoria seja devidamente autorizada a funcionar pela</w:t>
      </w:r>
      <w:r w:rsidRPr="00095CAC">
        <w:rPr>
          <w:rFonts w:ascii="Arial" w:hAnsi="Arial" w:cs="Arial"/>
          <w:szCs w:val="24"/>
        </w:rPr>
        <w:t xml:space="preserve"> CVM – Comissão de Valores Mobiliários.</w:t>
      </w:r>
    </w:p>
    <w:p w:rsidR="00CF771B" w:rsidRPr="00A172FB" w:rsidRDefault="00CF771B" w:rsidP="00CF771B">
      <w:pPr>
        <w:keepLines/>
        <w:spacing w:line="360" w:lineRule="auto"/>
        <w:ind w:firstLine="709"/>
        <w:jc w:val="both"/>
        <w:rPr>
          <w:rFonts w:ascii="Arial" w:hAnsi="Arial" w:cs="Arial"/>
          <w:color w:val="000000" w:themeColor="text1"/>
        </w:rPr>
      </w:pPr>
      <w:r w:rsidRPr="00A172FB">
        <w:rPr>
          <w:rFonts w:ascii="Arial" w:hAnsi="Arial" w:cs="Arial"/>
          <w:color w:val="000000" w:themeColor="text1"/>
        </w:rPr>
        <w:t>Este regime</w:t>
      </w:r>
      <w:r>
        <w:rPr>
          <w:rFonts w:ascii="Arial" w:hAnsi="Arial" w:cs="Arial"/>
          <w:color w:val="000000" w:themeColor="text1"/>
        </w:rPr>
        <w:t xml:space="preserve"> próprio de previdência, social </w:t>
      </w:r>
      <w:r w:rsidRPr="00A172FB">
        <w:rPr>
          <w:rFonts w:ascii="Arial" w:hAnsi="Arial" w:cs="Arial"/>
          <w:color w:val="000000" w:themeColor="text1"/>
        </w:rPr>
        <w:t>se for o caso, deverá manter política de contratação e monitoramento periódico dos prestadores de serviço, de forma a verificar, no mínimo, que os prestadores cumprem, satisfatoriamente:</w:t>
      </w:r>
    </w:p>
    <w:p w:rsidR="00CF771B" w:rsidRPr="00A172FB" w:rsidRDefault="00CF771B" w:rsidP="00CF771B">
      <w:pPr>
        <w:keepLines/>
        <w:spacing w:line="360" w:lineRule="auto"/>
        <w:ind w:firstLine="709"/>
        <w:jc w:val="both"/>
        <w:rPr>
          <w:rFonts w:ascii="Arial" w:hAnsi="Arial" w:cs="Arial"/>
          <w:color w:val="000000" w:themeColor="text1"/>
        </w:rPr>
      </w:pPr>
      <w:r w:rsidRPr="00A172FB">
        <w:rPr>
          <w:rFonts w:ascii="Arial" w:hAnsi="Arial" w:cs="Arial"/>
          <w:color w:val="000000" w:themeColor="text1"/>
        </w:rPr>
        <w:t xml:space="preserve">I - </w:t>
      </w:r>
      <w:r w:rsidR="002E4951" w:rsidRPr="00A172FB">
        <w:rPr>
          <w:rFonts w:ascii="Arial" w:hAnsi="Arial" w:cs="Arial"/>
          <w:color w:val="000000" w:themeColor="text1"/>
        </w:rPr>
        <w:t>Os</w:t>
      </w:r>
      <w:r w:rsidRPr="00A172FB">
        <w:rPr>
          <w:rFonts w:ascii="Arial" w:hAnsi="Arial" w:cs="Arial"/>
          <w:color w:val="000000" w:themeColor="text1"/>
        </w:rPr>
        <w:t xml:space="preserve"> requisitos e condições estabelecidos na legislação aplicável; </w:t>
      </w:r>
    </w:p>
    <w:p w:rsidR="00CF771B" w:rsidRPr="00A172FB" w:rsidRDefault="00CF771B" w:rsidP="00CF771B">
      <w:pPr>
        <w:keepLines/>
        <w:spacing w:line="360" w:lineRule="auto"/>
        <w:ind w:firstLine="709"/>
        <w:jc w:val="both"/>
        <w:rPr>
          <w:rFonts w:ascii="Arial" w:hAnsi="Arial" w:cs="Arial"/>
          <w:b/>
          <w:color w:val="000000" w:themeColor="text1"/>
        </w:rPr>
      </w:pPr>
      <w:r w:rsidRPr="00A172FB">
        <w:rPr>
          <w:rFonts w:ascii="Arial" w:hAnsi="Arial" w:cs="Arial"/>
          <w:color w:val="000000" w:themeColor="text1"/>
        </w:rPr>
        <w:t xml:space="preserve">II - </w:t>
      </w:r>
      <w:r w:rsidR="002E4951" w:rsidRPr="00A172FB">
        <w:rPr>
          <w:rFonts w:ascii="Arial" w:hAnsi="Arial" w:cs="Arial"/>
          <w:color w:val="000000" w:themeColor="text1"/>
        </w:rPr>
        <w:t>As</w:t>
      </w:r>
      <w:r w:rsidRPr="00A172FB">
        <w:rPr>
          <w:rFonts w:ascii="Arial" w:hAnsi="Arial" w:cs="Arial"/>
          <w:color w:val="000000" w:themeColor="text1"/>
        </w:rPr>
        <w:t xml:space="preserve"> condições, exigências e finalidades estabelecidas no contrato.</w:t>
      </w:r>
    </w:p>
    <w:p w:rsidR="00CF771B" w:rsidRPr="00A172FB" w:rsidRDefault="00CF771B" w:rsidP="00CF771B">
      <w:pPr>
        <w:keepLines/>
        <w:spacing w:line="360" w:lineRule="auto"/>
        <w:jc w:val="both"/>
        <w:rPr>
          <w:rFonts w:ascii="Arial" w:hAnsi="Arial" w:cs="Arial"/>
          <w:color w:val="000000" w:themeColor="text1"/>
        </w:rPr>
      </w:pPr>
    </w:p>
    <w:p w:rsidR="00CF771B" w:rsidRPr="00A172FB" w:rsidRDefault="00CF771B" w:rsidP="00CF771B">
      <w:pPr>
        <w:keepLines/>
        <w:tabs>
          <w:tab w:val="left" w:pos="709"/>
        </w:tabs>
        <w:spacing w:line="360" w:lineRule="auto"/>
        <w:ind w:firstLine="709"/>
        <w:jc w:val="both"/>
        <w:rPr>
          <w:rFonts w:ascii="Arial" w:hAnsi="Arial" w:cs="Arial"/>
          <w:color w:val="000000" w:themeColor="text1"/>
        </w:rPr>
      </w:pPr>
      <w:r w:rsidRPr="00A172FB">
        <w:rPr>
          <w:rFonts w:ascii="Arial" w:hAnsi="Arial" w:cs="Arial"/>
          <w:color w:val="000000" w:themeColor="text1"/>
        </w:rPr>
        <w:t>Em ambas as formas de aplicação dos recursos, este regime próprio de previdência social deverá manter registro, por meio digital, de todos os documentos que suportem a tomada de decisão na aplicação de recursos.</w:t>
      </w:r>
    </w:p>
    <w:p w:rsidR="00CF771B" w:rsidRPr="00A172FB" w:rsidRDefault="00CF771B" w:rsidP="00CF771B">
      <w:pPr>
        <w:keepLines/>
        <w:spacing w:line="360" w:lineRule="auto"/>
        <w:ind w:firstLine="709"/>
        <w:jc w:val="both"/>
        <w:rPr>
          <w:rFonts w:ascii="Arial" w:hAnsi="Arial" w:cs="Arial"/>
        </w:rPr>
      </w:pPr>
      <w:r w:rsidRPr="00A172FB">
        <w:rPr>
          <w:rFonts w:ascii="Arial" w:hAnsi="Arial" w:cs="Arial"/>
        </w:rPr>
        <w:t xml:space="preserve">Nos investimentos em Fundos de Investimento </w:t>
      </w:r>
      <w:r w:rsidRPr="00A172FB">
        <w:rPr>
          <w:rFonts w:ascii="Arial" w:hAnsi="Arial" w:cs="Arial"/>
          <w:color w:val="000000" w:themeColor="text1"/>
        </w:rPr>
        <w:t>de</w:t>
      </w:r>
      <w:r w:rsidRPr="00A172FB">
        <w:rPr>
          <w:rFonts w:ascii="Arial" w:hAnsi="Arial" w:cs="Arial"/>
          <w:color w:val="FF0000"/>
        </w:rPr>
        <w:t xml:space="preserve"> </w:t>
      </w:r>
      <w:r w:rsidRPr="00A172FB">
        <w:rPr>
          <w:rFonts w:ascii="Arial" w:hAnsi="Arial" w:cs="Arial"/>
        </w:rPr>
        <w:t>Renda Fixa,</w:t>
      </w:r>
      <w:r w:rsidRPr="00A172FB">
        <w:rPr>
          <w:rFonts w:ascii="Arial" w:hAnsi="Arial" w:cs="Arial"/>
          <w:color w:val="FF0000"/>
        </w:rPr>
        <w:t xml:space="preserve"> </w:t>
      </w:r>
      <w:r w:rsidRPr="00A172FB">
        <w:rPr>
          <w:rFonts w:ascii="Arial" w:hAnsi="Arial" w:cs="Arial"/>
        </w:rPr>
        <w:t xml:space="preserve">Fundo de Índice Renda Fixa, Fundo de Investimento de Renda Fixa e Cotas de Fundos de Índices, </w:t>
      </w:r>
      <w:r w:rsidRPr="00A172FB">
        <w:rPr>
          <w:rFonts w:ascii="Arial" w:hAnsi="Arial" w:cs="Arial"/>
          <w:color w:val="000000" w:themeColor="text1"/>
        </w:rPr>
        <w:t>Fundos de Renda Variável e Fundos de índice de renda variável em seu</w:t>
      </w:r>
      <w:r w:rsidRPr="00A172FB">
        <w:rPr>
          <w:rFonts w:ascii="Arial" w:hAnsi="Arial" w:cs="Arial"/>
        </w:rPr>
        <w:t xml:space="preserve">s devidos regulamentos deverão respeitas as seguintes subordinações: </w:t>
      </w:r>
    </w:p>
    <w:p w:rsidR="00CF771B" w:rsidRPr="00A172FB" w:rsidRDefault="00CF771B" w:rsidP="00CF771B">
      <w:pPr>
        <w:keepLines/>
        <w:widowControl w:val="0"/>
        <w:numPr>
          <w:ilvl w:val="0"/>
          <w:numId w:val="1"/>
        </w:numPr>
        <w:tabs>
          <w:tab w:val="left" w:pos="426"/>
        </w:tabs>
        <w:spacing w:before="60" w:after="60" w:line="360" w:lineRule="auto"/>
        <w:ind w:firstLine="709"/>
        <w:jc w:val="both"/>
        <w:rPr>
          <w:rFonts w:ascii="Arial" w:hAnsi="Arial" w:cs="Arial"/>
          <w:color w:val="FF0000"/>
        </w:rPr>
      </w:pPr>
      <w:r w:rsidRPr="00A172FB">
        <w:rPr>
          <w:rFonts w:ascii="Arial" w:hAnsi="Arial" w:cs="Arial"/>
        </w:rPr>
        <w:t xml:space="preserve">Que os direitos, títulos e valores mobiliários </w:t>
      </w:r>
      <w:r w:rsidRPr="00A172FB">
        <w:rPr>
          <w:rFonts w:ascii="Arial" w:hAnsi="Arial" w:cs="Arial"/>
          <w:color w:val="000000" w:themeColor="text1"/>
        </w:rPr>
        <w:t xml:space="preserve">de emissores privados que compõem suas carteiras ou os respectivos emissores sejam considerados de baixo risco de crédito pelos responsáveis pela gestão dos recursos, dentre outros critérios; </w:t>
      </w:r>
    </w:p>
    <w:p w:rsidR="00CF771B" w:rsidRPr="00A172FB" w:rsidRDefault="00CF771B" w:rsidP="00CF771B">
      <w:pPr>
        <w:keepLines/>
        <w:widowControl w:val="0"/>
        <w:numPr>
          <w:ilvl w:val="0"/>
          <w:numId w:val="1"/>
        </w:numPr>
        <w:tabs>
          <w:tab w:val="left" w:pos="426"/>
        </w:tabs>
        <w:spacing w:before="60" w:after="60" w:line="360" w:lineRule="auto"/>
        <w:ind w:firstLine="709"/>
        <w:jc w:val="both"/>
        <w:rPr>
          <w:rFonts w:ascii="Arial" w:hAnsi="Arial" w:cs="Arial"/>
          <w:color w:val="000000" w:themeColor="text1"/>
        </w:rPr>
      </w:pPr>
      <w:r w:rsidRPr="00A172FB">
        <w:rPr>
          <w:rFonts w:ascii="Arial" w:hAnsi="Arial" w:cs="Arial"/>
          <w:color w:val="000000" w:themeColor="text1"/>
        </w:rPr>
        <w:t xml:space="preserve">Os títulos de crédito privados devem ser emitidos por instituição financeira bancária autorizada a funcionar pelo Banco Central do Brasil; </w:t>
      </w:r>
    </w:p>
    <w:p w:rsidR="00CF771B" w:rsidRPr="00A172FB" w:rsidRDefault="00CF771B" w:rsidP="00CF771B">
      <w:pPr>
        <w:keepLines/>
        <w:widowControl w:val="0"/>
        <w:numPr>
          <w:ilvl w:val="0"/>
          <w:numId w:val="1"/>
        </w:numPr>
        <w:tabs>
          <w:tab w:val="left" w:pos="426"/>
        </w:tabs>
        <w:spacing w:before="60" w:after="60" w:line="360" w:lineRule="auto"/>
        <w:ind w:firstLine="709"/>
        <w:jc w:val="both"/>
        <w:rPr>
          <w:rFonts w:ascii="Arial" w:hAnsi="Arial" w:cs="Arial"/>
          <w:color w:val="000000" w:themeColor="text1"/>
        </w:rPr>
      </w:pPr>
      <w:r w:rsidRPr="00A172FB">
        <w:rPr>
          <w:rFonts w:ascii="Arial" w:hAnsi="Arial" w:cs="Arial"/>
          <w:color w:val="000000" w:themeColor="text1"/>
          <w:shd w:val="clear" w:color="auto" w:fill="FFFFFF"/>
        </w:rPr>
        <w:t xml:space="preserve">Ser emitidos por companhias abertas, exceto </w:t>
      </w:r>
      <w:proofErr w:type="spellStart"/>
      <w:r w:rsidRPr="00A172FB">
        <w:rPr>
          <w:rFonts w:ascii="Arial" w:hAnsi="Arial" w:cs="Arial"/>
          <w:color w:val="000000" w:themeColor="text1"/>
          <w:shd w:val="clear" w:color="auto" w:fill="FFFFFF"/>
        </w:rPr>
        <w:t>securitizadoras</w:t>
      </w:r>
      <w:proofErr w:type="spellEnd"/>
      <w:r w:rsidRPr="00A172FB">
        <w:rPr>
          <w:rFonts w:ascii="Arial" w:hAnsi="Arial" w:cs="Arial"/>
          <w:color w:val="000000" w:themeColor="text1"/>
          <w:shd w:val="clear" w:color="auto" w:fill="FFFFFF"/>
        </w:rPr>
        <w:t>, desde que operacionais e registradas na CVM</w:t>
      </w:r>
      <w:r w:rsidR="003910A0">
        <w:rPr>
          <w:rFonts w:ascii="Arial" w:hAnsi="Arial" w:cs="Arial"/>
          <w:color w:val="000000" w:themeColor="text1"/>
          <w:shd w:val="clear" w:color="auto" w:fill="FFFFFF"/>
        </w:rPr>
        <w:t>;</w:t>
      </w:r>
    </w:p>
    <w:p w:rsidR="00CF771B" w:rsidRPr="00A172FB" w:rsidRDefault="00CF771B" w:rsidP="00CF771B">
      <w:pPr>
        <w:keepLines/>
        <w:widowControl w:val="0"/>
        <w:numPr>
          <w:ilvl w:val="0"/>
          <w:numId w:val="1"/>
        </w:numPr>
        <w:tabs>
          <w:tab w:val="left" w:pos="426"/>
        </w:tabs>
        <w:spacing w:before="60" w:after="60" w:line="360" w:lineRule="auto"/>
        <w:ind w:firstLine="709"/>
        <w:jc w:val="both"/>
        <w:rPr>
          <w:rFonts w:ascii="Arial" w:hAnsi="Arial" w:cs="Arial"/>
          <w:color w:val="000000" w:themeColor="text1"/>
        </w:rPr>
      </w:pPr>
      <w:r w:rsidRPr="00A172FB">
        <w:rPr>
          <w:rFonts w:ascii="Arial" w:hAnsi="Arial" w:cs="Arial"/>
          <w:color w:val="000000" w:themeColor="text1"/>
        </w:rPr>
        <w:t>Os regimes próprios de previdência social somente poderão aplicar recursos em cotas de fundos de investimento quando atendidas, cumulativamente, as seguintes condições:</w:t>
      </w:r>
    </w:p>
    <w:p w:rsidR="00CF771B" w:rsidRPr="00A172FB" w:rsidRDefault="002E4951" w:rsidP="00CF771B">
      <w:pPr>
        <w:keepLines/>
        <w:widowControl w:val="0"/>
        <w:tabs>
          <w:tab w:val="left" w:pos="426"/>
        </w:tabs>
        <w:spacing w:before="60" w:after="60" w:line="360" w:lineRule="auto"/>
        <w:ind w:left="1429"/>
        <w:jc w:val="both"/>
        <w:rPr>
          <w:rFonts w:ascii="Arial" w:hAnsi="Arial" w:cs="Arial"/>
          <w:color w:val="000000" w:themeColor="text1"/>
        </w:rPr>
      </w:pPr>
      <w:r>
        <w:rPr>
          <w:rFonts w:ascii="Arial" w:hAnsi="Arial" w:cs="Arial"/>
          <w:color w:val="000000" w:themeColor="text1"/>
        </w:rPr>
        <w:t xml:space="preserve"> I - O</w:t>
      </w:r>
      <w:r w:rsidR="00CF771B" w:rsidRPr="00A172FB">
        <w:rPr>
          <w:rFonts w:ascii="Arial" w:hAnsi="Arial" w:cs="Arial"/>
          <w:color w:val="000000" w:themeColor="text1"/>
        </w:rPr>
        <w:t xml:space="preserve"> administrador ou o gestor do fundo de investimento seja instituição autorizada a funcionar pelo Banco Central do Brasil obrigada a instituir comitê de auditoria e comitê de riscos, nos termos da regulamentação do Conselho Monetário Nacional; </w:t>
      </w:r>
    </w:p>
    <w:p w:rsidR="00CF771B" w:rsidRPr="00A172FB" w:rsidRDefault="00CF771B" w:rsidP="00CF771B">
      <w:pPr>
        <w:keepLines/>
        <w:widowControl w:val="0"/>
        <w:tabs>
          <w:tab w:val="left" w:pos="426"/>
        </w:tabs>
        <w:spacing w:before="60" w:after="60" w:line="360" w:lineRule="auto"/>
        <w:ind w:left="1429"/>
        <w:jc w:val="both"/>
        <w:rPr>
          <w:rFonts w:ascii="Arial" w:hAnsi="Arial" w:cs="Arial"/>
          <w:color w:val="000000" w:themeColor="text1"/>
        </w:rPr>
      </w:pPr>
      <w:r w:rsidRPr="00A172FB">
        <w:rPr>
          <w:rFonts w:ascii="Arial" w:hAnsi="Arial" w:cs="Arial"/>
          <w:color w:val="000000" w:themeColor="text1"/>
        </w:rPr>
        <w:t xml:space="preserve">II - </w:t>
      </w:r>
      <w:r w:rsidR="002E4951">
        <w:rPr>
          <w:rFonts w:ascii="Arial" w:hAnsi="Arial" w:cs="Arial"/>
          <w:color w:val="000000" w:themeColor="text1"/>
        </w:rPr>
        <w:t>O</w:t>
      </w:r>
      <w:r w:rsidRPr="00A172FB">
        <w:rPr>
          <w:rFonts w:ascii="Arial" w:hAnsi="Arial" w:cs="Arial"/>
          <w:color w:val="000000" w:themeColor="text1"/>
        </w:rPr>
        <w:t xml:space="preserve"> administrador do fundo de investimento detenha, no máximo, 50% (cinquenta por cento) dos recursos sob sua administração oriundos de regimes próprios de previdência social;</w:t>
      </w:r>
    </w:p>
    <w:p w:rsidR="00CF771B" w:rsidRPr="00A172FB" w:rsidRDefault="002E4951" w:rsidP="00CF771B">
      <w:pPr>
        <w:keepLines/>
        <w:widowControl w:val="0"/>
        <w:tabs>
          <w:tab w:val="left" w:pos="426"/>
        </w:tabs>
        <w:spacing w:before="60" w:after="60" w:line="360" w:lineRule="auto"/>
        <w:ind w:left="1429"/>
        <w:jc w:val="both"/>
        <w:rPr>
          <w:rFonts w:ascii="Arial" w:hAnsi="Arial" w:cs="Arial"/>
          <w:color w:val="000000" w:themeColor="text1"/>
        </w:rPr>
      </w:pPr>
      <w:r>
        <w:rPr>
          <w:rFonts w:ascii="Arial" w:hAnsi="Arial" w:cs="Arial"/>
          <w:color w:val="000000" w:themeColor="text1"/>
        </w:rPr>
        <w:t xml:space="preserve"> III - O</w:t>
      </w:r>
      <w:r w:rsidR="00CF771B" w:rsidRPr="00A172FB">
        <w:rPr>
          <w:rFonts w:ascii="Arial" w:hAnsi="Arial" w:cs="Arial"/>
          <w:color w:val="000000" w:themeColor="text1"/>
        </w:rPr>
        <w:t xml:space="preserve"> gestor e o administrador do fundo de investimento tenham sido objeto de prévio credenciamento, e sejam considerados pelos responsáveis pela gestão de recursos deste regime próprio de previdência social como de boa qualidade de gestão e de ambiente de controle de investimento.</w:t>
      </w:r>
    </w:p>
    <w:p w:rsidR="00CF771B" w:rsidRPr="00517011" w:rsidRDefault="00CF771B" w:rsidP="00CF771B">
      <w:pPr>
        <w:keepLines/>
        <w:widowControl w:val="0"/>
        <w:numPr>
          <w:ilvl w:val="0"/>
          <w:numId w:val="1"/>
        </w:numPr>
        <w:tabs>
          <w:tab w:val="left" w:pos="426"/>
        </w:tabs>
        <w:spacing w:before="60" w:after="60" w:line="360" w:lineRule="auto"/>
        <w:ind w:firstLine="709"/>
        <w:jc w:val="both"/>
        <w:rPr>
          <w:rFonts w:ascii="Arial" w:hAnsi="Arial" w:cs="Arial"/>
          <w:color w:val="000000" w:themeColor="text1"/>
          <w:szCs w:val="24"/>
          <w:highlight w:val="yellow"/>
        </w:rPr>
      </w:pPr>
      <w:r w:rsidRPr="00517011">
        <w:rPr>
          <w:rFonts w:ascii="Arial" w:hAnsi="Arial" w:cs="Arial"/>
          <w:b/>
          <w:color w:val="000000" w:themeColor="text1"/>
          <w:szCs w:val="24"/>
        </w:rPr>
        <w:lastRenderedPageBreak/>
        <w:t>Que o limite máximo de concentração em qualquer fundo</w:t>
      </w:r>
      <w:r w:rsidRPr="00517011">
        <w:rPr>
          <w:rFonts w:ascii="Arial" w:hAnsi="Arial" w:cs="Arial"/>
          <w:color w:val="000000" w:themeColor="text1"/>
          <w:szCs w:val="24"/>
        </w:rPr>
        <w:t xml:space="preserve"> de investimento do segmento de renda fixa ou renda variável, observando-se os sublimites e, em uma mesma pessoa jurídica, de sua controladora, de entidade por ela direta ou indiretamente controlada e de coligada ou quaisquer outras sociedades </w:t>
      </w:r>
      <w:proofErr w:type="gramStart"/>
      <w:r w:rsidRPr="00517011">
        <w:rPr>
          <w:rFonts w:ascii="Arial" w:hAnsi="Arial" w:cs="Arial"/>
          <w:color w:val="000000" w:themeColor="text1"/>
          <w:szCs w:val="24"/>
        </w:rPr>
        <w:t>sob controle</w:t>
      </w:r>
      <w:proofErr w:type="gramEnd"/>
      <w:r w:rsidRPr="00517011">
        <w:rPr>
          <w:rFonts w:ascii="Arial" w:hAnsi="Arial" w:cs="Arial"/>
          <w:color w:val="000000" w:themeColor="text1"/>
          <w:szCs w:val="24"/>
        </w:rPr>
        <w:t xml:space="preserve"> comum </w:t>
      </w:r>
      <w:r w:rsidRPr="00517011">
        <w:rPr>
          <w:rFonts w:ascii="Arial" w:hAnsi="Arial" w:cs="Arial"/>
          <w:b/>
          <w:color w:val="000000" w:themeColor="text1"/>
          <w:szCs w:val="24"/>
        </w:rPr>
        <w:t>seja no máximo de 20%</w:t>
      </w:r>
      <w:r w:rsidRPr="00517011">
        <w:rPr>
          <w:rFonts w:ascii="Arial" w:hAnsi="Arial" w:cs="Arial"/>
          <w:color w:val="000000" w:themeColor="text1"/>
          <w:szCs w:val="24"/>
        </w:rPr>
        <w:t xml:space="preserve"> (vinte por cento) do patrimônio deste RPPS, conforme estabelecido na Resolução CMN 4</w:t>
      </w:r>
      <w:r w:rsidR="003910A0" w:rsidRPr="00517011">
        <w:rPr>
          <w:rFonts w:ascii="Arial" w:hAnsi="Arial" w:cs="Arial"/>
          <w:color w:val="000000" w:themeColor="text1"/>
          <w:szCs w:val="24"/>
        </w:rPr>
        <w:t>.</w:t>
      </w:r>
      <w:r w:rsidR="002E4951" w:rsidRPr="00517011">
        <w:rPr>
          <w:rFonts w:ascii="Arial" w:hAnsi="Arial" w:cs="Arial"/>
          <w:color w:val="000000" w:themeColor="text1"/>
          <w:szCs w:val="24"/>
        </w:rPr>
        <w:t xml:space="preserve">695/2018, </w:t>
      </w:r>
      <w:r w:rsidR="002E4951" w:rsidRPr="00517011">
        <w:rPr>
          <w:rFonts w:ascii="Arial" w:hAnsi="Arial" w:cs="Arial"/>
          <w:color w:val="000000" w:themeColor="text1"/>
          <w:szCs w:val="24"/>
          <w:highlight w:val="yellow"/>
        </w:rPr>
        <w:t>exceto para os fundos enquadrados no Art. 7º, I, “b” da referida Resolução.</w:t>
      </w:r>
    </w:p>
    <w:p w:rsidR="00CF771B" w:rsidRDefault="00CF771B" w:rsidP="003844FE">
      <w:pPr>
        <w:keepLines/>
        <w:widowControl w:val="0"/>
        <w:tabs>
          <w:tab w:val="left" w:pos="426"/>
        </w:tabs>
        <w:spacing w:after="0" w:line="360" w:lineRule="auto"/>
        <w:jc w:val="both"/>
        <w:rPr>
          <w:rFonts w:ascii="Arial" w:hAnsi="Arial" w:cs="Arial"/>
          <w:b/>
          <w:color w:val="000000" w:themeColor="text1"/>
          <w:szCs w:val="24"/>
        </w:rPr>
      </w:pPr>
    </w:p>
    <w:p w:rsidR="00CF771B" w:rsidRPr="00B96AB6" w:rsidRDefault="00CF771B" w:rsidP="00CF771B">
      <w:pPr>
        <w:pStyle w:val="Ttulo1"/>
        <w:jc w:val="both"/>
        <w:rPr>
          <w:rFonts w:ascii="Arial" w:hAnsi="Arial" w:cs="Arial"/>
          <w:color w:val="000000" w:themeColor="text1"/>
          <w:sz w:val="22"/>
          <w:szCs w:val="22"/>
        </w:rPr>
      </w:pPr>
      <w:bookmarkStart w:id="7" w:name="_Toc536189695"/>
      <w:bookmarkStart w:id="8" w:name="_Toc20133923"/>
      <w:r w:rsidRPr="00B96AB6">
        <w:rPr>
          <w:rFonts w:ascii="Arial" w:hAnsi="Arial" w:cs="Arial"/>
          <w:color w:val="000000" w:themeColor="text1"/>
          <w:sz w:val="22"/>
          <w:szCs w:val="22"/>
        </w:rPr>
        <w:t xml:space="preserve">4 - LIMITAÇÕES, RESTRIÇÕES E VEDAÇÕES DAS APLICAÇÕES </w:t>
      </w:r>
      <w:proofErr w:type="gramStart"/>
      <w:r w:rsidRPr="00B96AB6">
        <w:rPr>
          <w:rFonts w:ascii="Arial" w:hAnsi="Arial" w:cs="Arial"/>
          <w:color w:val="000000" w:themeColor="text1"/>
          <w:sz w:val="22"/>
          <w:szCs w:val="22"/>
        </w:rPr>
        <w:t>FINANCEIRAS</w:t>
      </w:r>
      <w:bookmarkEnd w:id="7"/>
      <w:bookmarkEnd w:id="8"/>
      <w:proofErr w:type="gramEnd"/>
    </w:p>
    <w:p w:rsidR="00CF771B" w:rsidRPr="00B96AB6" w:rsidRDefault="00CF771B" w:rsidP="00CF771B">
      <w:pPr>
        <w:keepLines/>
        <w:spacing w:line="360" w:lineRule="auto"/>
        <w:jc w:val="both"/>
        <w:rPr>
          <w:rFonts w:ascii="Arial" w:hAnsi="Arial" w:cs="Arial"/>
          <w:szCs w:val="24"/>
        </w:rPr>
      </w:pPr>
    </w:p>
    <w:p w:rsidR="00CF771B" w:rsidRPr="00B96AB6" w:rsidRDefault="00CF771B" w:rsidP="00CF771B">
      <w:pPr>
        <w:keepLines/>
        <w:spacing w:line="360" w:lineRule="auto"/>
        <w:ind w:firstLine="708"/>
        <w:jc w:val="both"/>
        <w:rPr>
          <w:rFonts w:ascii="Arial" w:hAnsi="Arial" w:cs="Arial"/>
          <w:szCs w:val="24"/>
        </w:rPr>
      </w:pPr>
      <w:r w:rsidRPr="00B96AB6">
        <w:rPr>
          <w:rFonts w:ascii="Arial" w:hAnsi="Arial" w:cs="Arial"/>
          <w:szCs w:val="24"/>
        </w:rPr>
        <w:t>Devem ser observados os limites e as restrições de concentração dos investimentos financeiros na seguinte forma:</w:t>
      </w:r>
    </w:p>
    <w:p w:rsidR="00CF771B" w:rsidRPr="00B96AB6" w:rsidRDefault="00CF771B" w:rsidP="00CF771B">
      <w:pPr>
        <w:keepLines/>
        <w:widowControl w:val="0"/>
        <w:numPr>
          <w:ilvl w:val="0"/>
          <w:numId w:val="1"/>
        </w:numPr>
        <w:tabs>
          <w:tab w:val="left" w:pos="426"/>
        </w:tabs>
        <w:spacing w:before="60" w:after="60" w:line="360" w:lineRule="auto"/>
        <w:ind w:firstLine="709"/>
        <w:jc w:val="both"/>
        <w:rPr>
          <w:rFonts w:ascii="Arial" w:hAnsi="Arial" w:cs="Arial"/>
          <w:szCs w:val="24"/>
        </w:rPr>
      </w:pPr>
      <w:r w:rsidRPr="00B96AB6">
        <w:rPr>
          <w:rFonts w:ascii="Arial" w:hAnsi="Arial" w:cs="Arial"/>
          <w:szCs w:val="24"/>
        </w:rPr>
        <w:t>As empresas financeiras, recebedoras de depósitos em poupança, não tenham controle societário detido pelo Estado.</w:t>
      </w:r>
    </w:p>
    <w:p w:rsidR="00CF771B" w:rsidRPr="00B96AB6" w:rsidRDefault="00CF771B" w:rsidP="00CF771B">
      <w:pPr>
        <w:keepLines/>
        <w:widowControl w:val="0"/>
        <w:numPr>
          <w:ilvl w:val="0"/>
          <w:numId w:val="1"/>
        </w:numPr>
        <w:tabs>
          <w:tab w:val="left" w:pos="426"/>
        </w:tabs>
        <w:spacing w:before="60" w:after="60" w:line="360" w:lineRule="auto"/>
        <w:ind w:firstLine="709"/>
        <w:jc w:val="both"/>
        <w:rPr>
          <w:rFonts w:ascii="Arial" w:hAnsi="Arial" w:cs="Arial"/>
          <w:szCs w:val="24"/>
        </w:rPr>
      </w:pPr>
      <w:r w:rsidRPr="00B96AB6">
        <w:rPr>
          <w:rFonts w:ascii="Arial" w:hAnsi="Arial" w:cs="Arial"/>
          <w:color w:val="000000" w:themeColor="text1"/>
          <w:szCs w:val="24"/>
        </w:rPr>
        <w:t>Os recursos destinados a investimentos em fundos de renda variável e investimentos estruturados</w:t>
      </w:r>
      <w:r w:rsidRPr="00B96AB6">
        <w:rPr>
          <w:rFonts w:ascii="Arial" w:hAnsi="Arial" w:cs="Arial"/>
          <w:color w:val="FF0000"/>
          <w:szCs w:val="24"/>
        </w:rPr>
        <w:t xml:space="preserve"> </w:t>
      </w:r>
      <w:r w:rsidRPr="00B96AB6">
        <w:rPr>
          <w:rFonts w:ascii="Arial" w:hAnsi="Arial" w:cs="Arial"/>
          <w:szCs w:val="24"/>
        </w:rPr>
        <w:t>deverão</w:t>
      </w:r>
      <w:r w:rsidR="00517011">
        <w:rPr>
          <w:rFonts w:ascii="Arial" w:hAnsi="Arial" w:cs="Arial"/>
          <w:szCs w:val="24"/>
        </w:rPr>
        <w:t xml:space="preserve"> respeitar o limite </w:t>
      </w:r>
      <w:r w:rsidR="00517011" w:rsidRPr="00E95A5E">
        <w:rPr>
          <w:rFonts w:ascii="Arial" w:hAnsi="Arial" w:cs="Arial"/>
          <w:szCs w:val="24"/>
        </w:rPr>
        <w:t xml:space="preserve">máximo de </w:t>
      </w:r>
      <w:r w:rsidR="00226222">
        <w:rPr>
          <w:rFonts w:ascii="Arial" w:hAnsi="Arial" w:cs="Arial"/>
          <w:szCs w:val="24"/>
        </w:rPr>
        <w:t>30</w:t>
      </w:r>
      <w:r w:rsidRPr="00E95A5E">
        <w:rPr>
          <w:rFonts w:ascii="Arial" w:hAnsi="Arial" w:cs="Arial"/>
          <w:szCs w:val="24"/>
        </w:rPr>
        <w:t>%</w:t>
      </w:r>
      <w:r w:rsidRPr="00B96AB6">
        <w:rPr>
          <w:rFonts w:ascii="Arial" w:hAnsi="Arial" w:cs="Arial"/>
          <w:szCs w:val="24"/>
        </w:rPr>
        <w:t xml:space="preserve"> dos recursos em moeda corrente </w:t>
      </w:r>
      <w:r w:rsidRPr="00B96AB6">
        <w:rPr>
          <w:rFonts w:ascii="Arial" w:hAnsi="Arial" w:cs="Arial"/>
          <w:i/>
          <w:szCs w:val="24"/>
        </w:rPr>
        <w:t>do</w:t>
      </w:r>
      <w:r w:rsidRPr="00961372">
        <w:rPr>
          <w:rFonts w:ascii="Arial" w:hAnsi="Arial" w:cs="Arial"/>
          <w:szCs w:val="24"/>
        </w:rPr>
        <w:t xml:space="preserve"> RPPS</w:t>
      </w:r>
      <w:r w:rsidRPr="00B96AB6">
        <w:rPr>
          <w:rFonts w:ascii="Arial" w:hAnsi="Arial" w:cs="Arial"/>
          <w:i/>
          <w:szCs w:val="24"/>
        </w:rPr>
        <w:t xml:space="preserve"> </w:t>
      </w:r>
      <w:r w:rsidRPr="00B96AB6">
        <w:rPr>
          <w:rFonts w:ascii="Arial" w:hAnsi="Arial" w:cs="Arial"/>
          <w:szCs w:val="24"/>
        </w:rPr>
        <w:t>podendo enquadrar todos os Fundos que possuam algum índice de referência (benchmark), divulgado por bolsa de valores no Brasil, que é a B3, cuja composição leve em conta a variação das cotações de, pelo menos, 50 ações, bem como os Fundos de índices de Ações, conhecidos pela sigla “</w:t>
      </w:r>
      <w:proofErr w:type="spellStart"/>
      <w:r w:rsidRPr="00B96AB6">
        <w:rPr>
          <w:rFonts w:ascii="Arial" w:hAnsi="Arial" w:cs="Arial"/>
          <w:szCs w:val="24"/>
        </w:rPr>
        <w:t>ETF</w:t>
      </w:r>
      <w:r w:rsidR="00565399">
        <w:rPr>
          <w:rFonts w:ascii="Arial" w:hAnsi="Arial" w:cs="Arial"/>
          <w:szCs w:val="24"/>
        </w:rPr>
        <w:t>’</w:t>
      </w:r>
      <w:r w:rsidRPr="00B96AB6">
        <w:rPr>
          <w:rFonts w:ascii="Arial" w:hAnsi="Arial" w:cs="Arial"/>
          <w:szCs w:val="24"/>
        </w:rPr>
        <w:t>s</w:t>
      </w:r>
      <w:proofErr w:type="spellEnd"/>
      <w:r w:rsidRPr="00B96AB6">
        <w:rPr>
          <w:rFonts w:ascii="Arial" w:hAnsi="Arial" w:cs="Arial"/>
          <w:szCs w:val="24"/>
        </w:rPr>
        <w:t>”, com as mesmas características.</w:t>
      </w:r>
    </w:p>
    <w:p w:rsidR="00CF771B" w:rsidRPr="00B96AB6" w:rsidRDefault="00CF771B" w:rsidP="00CF771B">
      <w:pPr>
        <w:keepLines/>
        <w:widowControl w:val="0"/>
        <w:numPr>
          <w:ilvl w:val="0"/>
          <w:numId w:val="1"/>
        </w:numPr>
        <w:tabs>
          <w:tab w:val="left" w:pos="426"/>
        </w:tabs>
        <w:spacing w:before="60" w:after="60" w:line="360" w:lineRule="auto"/>
        <w:ind w:firstLine="709"/>
        <w:jc w:val="both"/>
        <w:rPr>
          <w:rFonts w:ascii="Arial" w:hAnsi="Arial" w:cs="Arial"/>
          <w:szCs w:val="24"/>
        </w:rPr>
      </w:pPr>
      <w:r w:rsidRPr="00B96AB6">
        <w:rPr>
          <w:rFonts w:ascii="Arial" w:hAnsi="Arial" w:cs="Arial"/>
          <w:szCs w:val="24"/>
        </w:rPr>
        <w:t xml:space="preserve">Os investimentos em </w:t>
      </w:r>
      <w:proofErr w:type="spellStart"/>
      <w:r w:rsidRPr="00B96AB6">
        <w:rPr>
          <w:rFonts w:ascii="Arial" w:hAnsi="Arial" w:cs="Arial"/>
          <w:szCs w:val="24"/>
        </w:rPr>
        <w:t>CDB</w:t>
      </w:r>
      <w:r w:rsidR="0095186E">
        <w:rPr>
          <w:rFonts w:ascii="Arial" w:hAnsi="Arial" w:cs="Arial"/>
          <w:szCs w:val="24"/>
        </w:rPr>
        <w:t>’</w:t>
      </w:r>
      <w:r w:rsidRPr="00B96AB6">
        <w:rPr>
          <w:rFonts w:ascii="Arial" w:hAnsi="Arial" w:cs="Arial"/>
          <w:szCs w:val="24"/>
        </w:rPr>
        <w:t>s</w:t>
      </w:r>
      <w:proofErr w:type="spellEnd"/>
      <w:r w:rsidRPr="00B96AB6">
        <w:rPr>
          <w:rFonts w:ascii="Arial" w:hAnsi="Arial" w:cs="Arial"/>
          <w:szCs w:val="24"/>
        </w:rPr>
        <w:t xml:space="preserve"> (Certificados de Depósito Bancário) são limitados ao valor de R$ 250.000,00, por emissor, que é o valor garantido pelo Fundo Garantidor de Créditos (FGC) e não ultrapasse 15% do patrimônio líquido do RPPS investidor. </w:t>
      </w:r>
    </w:p>
    <w:p w:rsidR="00CF771B" w:rsidRPr="00B96AB6" w:rsidRDefault="00CF771B" w:rsidP="00CF771B">
      <w:pPr>
        <w:keepLines/>
        <w:widowControl w:val="0"/>
        <w:numPr>
          <w:ilvl w:val="0"/>
          <w:numId w:val="1"/>
        </w:numPr>
        <w:tabs>
          <w:tab w:val="left" w:pos="426"/>
        </w:tabs>
        <w:spacing w:before="60" w:after="60" w:line="360" w:lineRule="auto"/>
        <w:ind w:firstLine="709"/>
        <w:jc w:val="both"/>
        <w:rPr>
          <w:rFonts w:ascii="Arial" w:hAnsi="Arial" w:cs="Arial"/>
          <w:szCs w:val="24"/>
        </w:rPr>
      </w:pPr>
      <w:r w:rsidRPr="00B96AB6">
        <w:rPr>
          <w:rFonts w:ascii="Arial" w:hAnsi="Arial" w:cs="Arial"/>
          <w:szCs w:val="24"/>
        </w:rPr>
        <w:t>As aplicações dos recursos referidas no art. 7º, incisos V (Letras Imobiliárias Garantidas) e VI (</w:t>
      </w:r>
      <w:proofErr w:type="spellStart"/>
      <w:r w:rsidRPr="00B96AB6">
        <w:rPr>
          <w:rFonts w:ascii="Arial" w:hAnsi="Arial" w:cs="Arial"/>
          <w:szCs w:val="24"/>
        </w:rPr>
        <w:t>CDB</w:t>
      </w:r>
      <w:r w:rsidR="00DF2524">
        <w:rPr>
          <w:rFonts w:ascii="Arial" w:hAnsi="Arial" w:cs="Arial"/>
          <w:szCs w:val="24"/>
        </w:rPr>
        <w:t>’</w:t>
      </w:r>
      <w:r w:rsidRPr="00B96AB6">
        <w:rPr>
          <w:rFonts w:ascii="Arial" w:hAnsi="Arial" w:cs="Arial"/>
          <w:szCs w:val="24"/>
        </w:rPr>
        <w:t>s</w:t>
      </w:r>
      <w:proofErr w:type="spellEnd"/>
      <w:r w:rsidRPr="00B96AB6">
        <w:rPr>
          <w:rFonts w:ascii="Arial" w:hAnsi="Arial" w:cs="Arial"/>
          <w:szCs w:val="24"/>
        </w:rPr>
        <w:t xml:space="preserve"> e Depósito de Poupança), ficam igualmente condicionadas a que a instituição financeira </w:t>
      </w:r>
      <w:r w:rsidRPr="00B96AB6">
        <w:rPr>
          <w:rFonts w:ascii="Arial" w:hAnsi="Arial" w:cs="Arial"/>
          <w:color w:val="000000" w:themeColor="text1"/>
          <w:szCs w:val="24"/>
        </w:rPr>
        <w:t>emissora ou gestora</w:t>
      </w:r>
      <w:r w:rsidRPr="00B96AB6">
        <w:rPr>
          <w:rFonts w:ascii="Arial" w:hAnsi="Arial" w:cs="Arial"/>
          <w:szCs w:val="24"/>
        </w:rPr>
        <w:t xml:space="preserve"> não tenha o respectivo controle societário detido, direta ou indiretamente, por Estado. O investimento em caderneta de poupança divide este limite com os </w:t>
      </w:r>
      <w:proofErr w:type="spellStart"/>
      <w:r w:rsidRPr="00B96AB6">
        <w:rPr>
          <w:rFonts w:ascii="Arial" w:hAnsi="Arial" w:cs="Arial"/>
          <w:szCs w:val="24"/>
        </w:rPr>
        <w:t>CDB</w:t>
      </w:r>
      <w:r w:rsidR="001C1DAF">
        <w:rPr>
          <w:rFonts w:ascii="Arial" w:hAnsi="Arial" w:cs="Arial"/>
          <w:szCs w:val="24"/>
        </w:rPr>
        <w:t>’</w:t>
      </w:r>
      <w:r w:rsidRPr="00B96AB6">
        <w:rPr>
          <w:rFonts w:ascii="Arial" w:hAnsi="Arial" w:cs="Arial"/>
          <w:szCs w:val="24"/>
        </w:rPr>
        <w:t>s</w:t>
      </w:r>
      <w:proofErr w:type="spellEnd"/>
      <w:r w:rsidRPr="00B96AB6">
        <w:rPr>
          <w:rFonts w:ascii="Arial" w:hAnsi="Arial" w:cs="Arial"/>
          <w:szCs w:val="24"/>
        </w:rPr>
        <w:t xml:space="preserve"> em 15%.</w:t>
      </w:r>
    </w:p>
    <w:p w:rsidR="00CF771B" w:rsidRPr="00B96AB6" w:rsidRDefault="00CF771B" w:rsidP="00CF771B">
      <w:pPr>
        <w:keepLines/>
        <w:widowControl w:val="0"/>
        <w:numPr>
          <w:ilvl w:val="0"/>
          <w:numId w:val="1"/>
        </w:numPr>
        <w:tabs>
          <w:tab w:val="left" w:pos="426"/>
        </w:tabs>
        <w:spacing w:before="60" w:after="60" w:line="360" w:lineRule="auto"/>
        <w:ind w:firstLine="709"/>
        <w:jc w:val="both"/>
        <w:rPr>
          <w:rFonts w:ascii="Arial" w:hAnsi="Arial" w:cs="Arial"/>
          <w:szCs w:val="24"/>
        </w:rPr>
      </w:pPr>
      <w:r w:rsidRPr="00B96AB6">
        <w:rPr>
          <w:rFonts w:ascii="Arial" w:hAnsi="Arial" w:cs="Arial"/>
          <w:szCs w:val="24"/>
        </w:rPr>
        <w:lastRenderedPageBreak/>
        <w:t>Os investimentos enquadrados no Artigo 8</w:t>
      </w:r>
      <w:r w:rsidR="00635DD8">
        <w:rPr>
          <w:rFonts w:ascii="Arial" w:hAnsi="Arial" w:cs="Arial"/>
          <w:szCs w:val="24"/>
        </w:rPr>
        <w:t>º</w:t>
      </w:r>
      <w:r w:rsidRPr="00B96AB6">
        <w:rPr>
          <w:rFonts w:ascii="Arial" w:hAnsi="Arial" w:cs="Arial"/>
          <w:szCs w:val="24"/>
        </w:rPr>
        <w:t>, inciso II classificados como ações, constituídos sob a forma de condomínio aberto, conforme regulamentação estabelecida pela CVM (fundos de renda variável) e os fundos de investimento em índice de mercado variável (</w:t>
      </w:r>
      <w:proofErr w:type="spellStart"/>
      <w:r w:rsidRPr="00B96AB6">
        <w:rPr>
          <w:rFonts w:ascii="Arial" w:hAnsi="Arial" w:cs="Arial"/>
          <w:szCs w:val="24"/>
        </w:rPr>
        <w:t>ETF</w:t>
      </w:r>
      <w:r w:rsidR="00565399">
        <w:rPr>
          <w:rFonts w:ascii="Arial" w:hAnsi="Arial" w:cs="Arial"/>
          <w:szCs w:val="24"/>
        </w:rPr>
        <w:t>’</w:t>
      </w:r>
      <w:r w:rsidRPr="00B96AB6">
        <w:rPr>
          <w:rFonts w:ascii="Arial" w:hAnsi="Arial" w:cs="Arial"/>
          <w:szCs w:val="24"/>
        </w:rPr>
        <w:t>s</w:t>
      </w:r>
      <w:proofErr w:type="spellEnd"/>
      <w:r w:rsidRPr="00B96AB6">
        <w:rPr>
          <w:rFonts w:ascii="Arial" w:hAnsi="Arial" w:cs="Arial"/>
          <w:szCs w:val="24"/>
        </w:rPr>
        <w:t>), negociáveis em bolsa de valores, cujas carteiras sejam compostas por ativos financeiros que busquem refletir as variações e rentabilidade de índices de renda variável, conforme regulamentação estabelecida pela CVM (fundos de índice de renda variável)</w:t>
      </w:r>
      <w:r>
        <w:rPr>
          <w:rFonts w:ascii="Arial" w:hAnsi="Arial" w:cs="Arial"/>
          <w:szCs w:val="24"/>
        </w:rPr>
        <w:t xml:space="preserve"> </w:t>
      </w:r>
      <w:proofErr w:type="gramStart"/>
      <w:r>
        <w:rPr>
          <w:rFonts w:ascii="Arial" w:hAnsi="Arial" w:cs="Arial"/>
          <w:szCs w:val="24"/>
        </w:rPr>
        <w:t>estão</w:t>
      </w:r>
      <w:proofErr w:type="gramEnd"/>
      <w:r>
        <w:rPr>
          <w:rFonts w:ascii="Arial" w:hAnsi="Arial" w:cs="Arial"/>
          <w:szCs w:val="24"/>
        </w:rPr>
        <w:t xml:space="preserve"> limitados a</w:t>
      </w:r>
      <w:r w:rsidRPr="00B96AB6">
        <w:rPr>
          <w:rFonts w:ascii="Arial" w:hAnsi="Arial" w:cs="Arial"/>
          <w:szCs w:val="24"/>
        </w:rPr>
        <w:t xml:space="preserve"> 20%.</w:t>
      </w:r>
    </w:p>
    <w:p w:rsidR="00CF771B" w:rsidRPr="00B96AB6" w:rsidRDefault="00CF771B" w:rsidP="00CF771B">
      <w:pPr>
        <w:keepLines/>
        <w:widowControl w:val="0"/>
        <w:numPr>
          <w:ilvl w:val="0"/>
          <w:numId w:val="1"/>
        </w:numPr>
        <w:tabs>
          <w:tab w:val="left" w:pos="426"/>
        </w:tabs>
        <w:spacing w:before="60" w:after="60" w:line="360" w:lineRule="auto"/>
        <w:ind w:firstLine="709"/>
        <w:jc w:val="both"/>
        <w:rPr>
          <w:rFonts w:ascii="Arial" w:hAnsi="Arial" w:cs="Arial"/>
          <w:szCs w:val="24"/>
        </w:rPr>
      </w:pPr>
      <w:r w:rsidRPr="00B96AB6">
        <w:rPr>
          <w:rFonts w:ascii="Arial" w:hAnsi="Arial" w:cs="Arial"/>
          <w:szCs w:val="24"/>
        </w:rPr>
        <w:t xml:space="preserve">Os investimentos em </w:t>
      </w:r>
      <w:proofErr w:type="spellStart"/>
      <w:r w:rsidRPr="00B96AB6">
        <w:rPr>
          <w:rFonts w:ascii="Arial" w:hAnsi="Arial" w:cs="Arial"/>
          <w:szCs w:val="24"/>
        </w:rPr>
        <w:t>FIP</w:t>
      </w:r>
      <w:r w:rsidR="00565399">
        <w:rPr>
          <w:rFonts w:ascii="Arial" w:hAnsi="Arial" w:cs="Arial"/>
          <w:szCs w:val="24"/>
        </w:rPr>
        <w:t>’</w:t>
      </w:r>
      <w:r w:rsidRPr="00B96AB6">
        <w:rPr>
          <w:rFonts w:ascii="Arial" w:hAnsi="Arial" w:cs="Arial"/>
          <w:szCs w:val="24"/>
        </w:rPr>
        <w:t>s</w:t>
      </w:r>
      <w:proofErr w:type="spellEnd"/>
      <w:r w:rsidRPr="00B96AB6">
        <w:rPr>
          <w:rFonts w:ascii="Arial" w:hAnsi="Arial" w:cs="Arial"/>
          <w:szCs w:val="24"/>
        </w:rPr>
        <w:t xml:space="preserve"> e </w:t>
      </w:r>
      <w:proofErr w:type="spellStart"/>
      <w:r w:rsidRPr="00B96AB6">
        <w:rPr>
          <w:rFonts w:ascii="Arial" w:hAnsi="Arial" w:cs="Arial"/>
          <w:szCs w:val="24"/>
        </w:rPr>
        <w:t>FII</w:t>
      </w:r>
      <w:r w:rsidR="00565399">
        <w:rPr>
          <w:rFonts w:ascii="Arial" w:hAnsi="Arial" w:cs="Arial"/>
          <w:szCs w:val="24"/>
        </w:rPr>
        <w:t>’</w:t>
      </w:r>
      <w:r w:rsidRPr="00B96AB6">
        <w:rPr>
          <w:rFonts w:ascii="Arial" w:hAnsi="Arial" w:cs="Arial"/>
          <w:szCs w:val="24"/>
        </w:rPr>
        <w:t>s</w:t>
      </w:r>
      <w:proofErr w:type="spellEnd"/>
      <w:r w:rsidRPr="00B96AB6">
        <w:rPr>
          <w:rFonts w:ascii="Arial" w:hAnsi="Arial" w:cs="Arial"/>
          <w:szCs w:val="24"/>
        </w:rPr>
        <w:t xml:space="preserve"> para poderem ser credenciados e receber investimentos dos </w:t>
      </w:r>
      <w:proofErr w:type="spellStart"/>
      <w:r w:rsidRPr="00B96AB6">
        <w:rPr>
          <w:rFonts w:ascii="Arial" w:hAnsi="Arial" w:cs="Arial"/>
          <w:szCs w:val="24"/>
        </w:rPr>
        <w:t>RPPS</w:t>
      </w:r>
      <w:r w:rsidR="00565399">
        <w:rPr>
          <w:rFonts w:ascii="Arial" w:hAnsi="Arial" w:cs="Arial"/>
          <w:szCs w:val="24"/>
        </w:rPr>
        <w:t>’</w:t>
      </w:r>
      <w:r w:rsidRPr="00B96AB6">
        <w:rPr>
          <w:rFonts w:ascii="Arial" w:hAnsi="Arial" w:cs="Arial"/>
          <w:szCs w:val="24"/>
        </w:rPr>
        <w:t>s</w:t>
      </w:r>
      <w:proofErr w:type="spellEnd"/>
      <w:r w:rsidRPr="00B96AB6">
        <w:rPr>
          <w:rFonts w:ascii="Arial" w:hAnsi="Arial" w:cs="Arial"/>
          <w:szCs w:val="24"/>
        </w:rPr>
        <w:t xml:space="preserve"> investidores </w:t>
      </w:r>
      <w:r>
        <w:rPr>
          <w:rFonts w:ascii="Arial" w:hAnsi="Arial" w:cs="Arial"/>
          <w:szCs w:val="24"/>
        </w:rPr>
        <w:t>devem atender aos critérios estabelecidos pela Resolução CMN 3.922/2010 alterada pela Resolução CMN 4.695/ 2018</w:t>
      </w:r>
      <w:r>
        <w:rPr>
          <w:rFonts w:ascii="Arial" w:hAnsi="Arial" w:cs="Arial"/>
          <w:color w:val="000000" w:themeColor="text1"/>
          <w:szCs w:val="24"/>
        </w:rPr>
        <w:t>;</w:t>
      </w:r>
    </w:p>
    <w:p w:rsidR="00CF771B" w:rsidRPr="00B96AB6" w:rsidRDefault="00CF771B" w:rsidP="00CF771B">
      <w:pPr>
        <w:keepLines/>
        <w:widowControl w:val="0"/>
        <w:numPr>
          <w:ilvl w:val="0"/>
          <w:numId w:val="1"/>
        </w:numPr>
        <w:tabs>
          <w:tab w:val="left" w:pos="426"/>
        </w:tabs>
        <w:spacing w:before="60" w:after="60" w:line="360" w:lineRule="auto"/>
        <w:ind w:firstLine="709"/>
        <w:jc w:val="both"/>
        <w:rPr>
          <w:rFonts w:ascii="Arial" w:hAnsi="Arial" w:cs="Arial"/>
          <w:szCs w:val="24"/>
        </w:rPr>
      </w:pPr>
      <w:r w:rsidRPr="00B96AB6">
        <w:rPr>
          <w:rFonts w:ascii="Arial" w:hAnsi="Arial" w:cs="Arial"/>
          <w:szCs w:val="24"/>
        </w:rPr>
        <w:t xml:space="preserve"> Quanto aos investimentos enquadrados no Artigo 7º, Inciso VII, os </w:t>
      </w:r>
      <w:proofErr w:type="spellStart"/>
      <w:r w:rsidRPr="00B96AB6">
        <w:rPr>
          <w:rFonts w:ascii="Arial" w:hAnsi="Arial" w:cs="Arial"/>
          <w:szCs w:val="24"/>
        </w:rPr>
        <w:t>FIDC</w:t>
      </w:r>
      <w:r w:rsidR="00565399">
        <w:rPr>
          <w:rFonts w:ascii="Arial" w:hAnsi="Arial" w:cs="Arial"/>
          <w:szCs w:val="24"/>
        </w:rPr>
        <w:t>’</w:t>
      </w:r>
      <w:r w:rsidRPr="00B96AB6">
        <w:rPr>
          <w:rFonts w:ascii="Arial" w:hAnsi="Arial" w:cs="Arial"/>
          <w:szCs w:val="24"/>
        </w:rPr>
        <w:t>s</w:t>
      </w:r>
      <w:proofErr w:type="spellEnd"/>
      <w:r w:rsidRPr="00B96AB6">
        <w:rPr>
          <w:rFonts w:ascii="Arial" w:hAnsi="Arial" w:cs="Arial"/>
          <w:szCs w:val="24"/>
        </w:rPr>
        <w:t xml:space="preserve"> (Fundo de Investimentos em Direitos Creditórios) aberto ou fechado, o percentual para estes investimentos passaram a ter o limite total em 5%. Os critérios seletivos que os gestores dos </w:t>
      </w:r>
      <w:proofErr w:type="spellStart"/>
      <w:r w:rsidRPr="00B96AB6">
        <w:rPr>
          <w:rFonts w:ascii="Arial" w:hAnsi="Arial" w:cs="Arial"/>
          <w:szCs w:val="24"/>
        </w:rPr>
        <w:t>FIDIC’s</w:t>
      </w:r>
      <w:proofErr w:type="spellEnd"/>
      <w:r w:rsidRPr="00B96AB6">
        <w:rPr>
          <w:rFonts w:ascii="Arial" w:hAnsi="Arial" w:cs="Arial"/>
          <w:szCs w:val="24"/>
        </w:rPr>
        <w:t xml:space="preserve"> precisam comprovar para poderem ser credenciados junto aos </w:t>
      </w:r>
      <w:proofErr w:type="spellStart"/>
      <w:r w:rsidRPr="00B96AB6">
        <w:rPr>
          <w:rFonts w:ascii="Arial" w:hAnsi="Arial" w:cs="Arial"/>
          <w:szCs w:val="24"/>
        </w:rPr>
        <w:t>RPPS</w:t>
      </w:r>
      <w:r w:rsidR="00565399">
        <w:rPr>
          <w:rFonts w:ascii="Arial" w:hAnsi="Arial" w:cs="Arial"/>
          <w:szCs w:val="24"/>
        </w:rPr>
        <w:t>’</w:t>
      </w:r>
      <w:r w:rsidRPr="00B96AB6">
        <w:rPr>
          <w:rFonts w:ascii="Arial" w:hAnsi="Arial" w:cs="Arial"/>
          <w:szCs w:val="24"/>
        </w:rPr>
        <w:t>s</w:t>
      </w:r>
      <w:proofErr w:type="spellEnd"/>
      <w:r w:rsidRPr="00B96AB6">
        <w:rPr>
          <w:rFonts w:ascii="Arial" w:hAnsi="Arial" w:cs="Arial"/>
          <w:szCs w:val="24"/>
        </w:rPr>
        <w:t xml:space="preserve"> investidores são:</w:t>
      </w:r>
    </w:p>
    <w:p w:rsidR="00CF771B" w:rsidRPr="00B96AB6" w:rsidRDefault="00CF771B" w:rsidP="00CF771B">
      <w:pPr>
        <w:keepLines/>
        <w:widowControl w:val="0"/>
        <w:tabs>
          <w:tab w:val="left" w:pos="426"/>
        </w:tabs>
        <w:spacing w:before="60" w:after="60" w:line="360" w:lineRule="auto"/>
        <w:ind w:left="1429"/>
        <w:jc w:val="both"/>
        <w:rPr>
          <w:rFonts w:ascii="Arial" w:hAnsi="Arial" w:cs="Arial"/>
          <w:szCs w:val="24"/>
        </w:rPr>
      </w:pPr>
      <w:proofErr w:type="gramStart"/>
      <w:r w:rsidRPr="00B96AB6">
        <w:rPr>
          <w:rFonts w:ascii="Arial" w:hAnsi="Arial" w:cs="Arial"/>
          <w:szCs w:val="24"/>
        </w:rPr>
        <w:t>1</w:t>
      </w:r>
      <w:proofErr w:type="gramEnd"/>
      <w:r w:rsidRPr="00B96AB6">
        <w:rPr>
          <w:rFonts w:ascii="Arial" w:hAnsi="Arial" w:cs="Arial"/>
          <w:szCs w:val="24"/>
        </w:rPr>
        <w:t xml:space="preserve">) Que o gestor do fundo de investimento comprove já ter realizado, pelo menos, dez ofertas públicas de cotas seniores de </w:t>
      </w:r>
      <w:proofErr w:type="spellStart"/>
      <w:r w:rsidRPr="00B96AB6">
        <w:rPr>
          <w:rFonts w:ascii="Arial" w:hAnsi="Arial" w:cs="Arial"/>
          <w:szCs w:val="24"/>
        </w:rPr>
        <w:t>FIDC’s</w:t>
      </w:r>
      <w:proofErr w:type="spellEnd"/>
      <w:r w:rsidRPr="00B96AB6">
        <w:rPr>
          <w:rFonts w:ascii="Arial" w:hAnsi="Arial" w:cs="Arial"/>
          <w:szCs w:val="24"/>
        </w:rPr>
        <w:t xml:space="preserve"> encerradas e integralmente liquidadas;</w:t>
      </w:r>
    </w:p>
    <w:p w:rsidR="00CF771B" w:rsidRPr="00B96AB6" w:rsidRDefault="00CF771B" w:rsidP="00CF771B">
      <w:pPr>
        <w:keepLines/>
        <w:widowControl w:val="0"/>
        <w:tabs>
          <w:tab w:val="left" w:pos="426"/>
        </w:tabs>
        <w:spacing w:before="60" w:after="60" w:line="360" w:lineRule="auto"/>
        <w:ind w:left="1429"/>
        <w:jc w:val="both"/>
        <w:rPr>
          <w:rFonts w:ascii="Arial" w:hAnsi="Arial" w:cs="Arial"/>
          <w:szCs w:val="24"/>
        </w:rPr>
      </w:pPr>
      <w:proofErr w:type="gramStart"/>
      <w:r w:rsidRPr="00B96AB6">
        <w:rPr>
          <w:rFonts w:ascii="Arial" w:hAnsi="Arial" w:cs="Arial"/>
          <w:szCs w:val="24"/>
        </w:rPr>
        <w:t>2</w:t>
      </w:r>
      <w:proofErr w:type="gramEnd"/>
      <w:r w:rsidRPr="00B96AB6">
        <w:rPr>
          <w:rFonts w:ascii="Arial" w:hAnsi="Arial" w:cs="Arial"/>
          <w:szCs w:val="24"/>
        </w:rPr>
        <w:t xml:space="preserve">) Os </w:t>
      </w:r>
      <w:proofErr w:type="spellStart"/>
      <w:r w:rsidRPr="00B96AB6">
        <w:rPr>
          <w:rFonts w:ascii="Arial" w:hAnsi="Arial" w:cs="Arial"/>
          <w:szCs w:val="24"/>
        </w:rPr>
        <w:t>RPPS’s</w:t>
      </w:r>
      <w:proofErr w:type="spellEnd"/>
      <w:r w:rsidRPr="00B96AB6">
        <w:rPr>
          <w:rFonts w:ascii="Arial" w:hAnsi="Arial" w:cs="Arial"/>
          <w:szCs w:val="24"/>
        </w:rPr>
        <w:t xml:space="preserve"> investidores em conjunto só podem possuir, no máximo, 50 % do patrimônio líquido de cada FIDC investido;</w:t>
      </w:r>
    </w:p>
    <w:p w:rsidR="00CF771B" w:rsidRPr="00B96AB6" w:rsidRDefault="00CF771B" w:rsidP="00CF771B">
      <w:pPr>
        <w:keepLines/>
        <w:widowControl w:val="0"/>
        <w:tabs>
          <w:tab w:val="left" w:pos="426"/>
        </w:tabs>
        <w:spacing w:before="60" w:after="60" w:line="360" w:lineRule="auto"/>
        <w:ind w:left="1429"/>
        <w:jc w:val="both"/>
        <w:rPr>
          <w:rFonts w:ascii="Arial" w:hAnsi="Arial" w:cs="Arial"/>
          <w:szCs w:val="24"/>
        </w:rPr>
      </w:pPr>
      <w:proofErr w:type="gramStart"/>
      <w:r w:rsidRPr="00B96AB6">
        <w:rPr>
          <w:rFonts w:ascii="Arial" w:hAnsi="Arial" w:cs="Arial"/>
          <w:szCs w:val="24"/>
        </w:rPr>
        <w:t>3</w:t>
      </w:r>
      <w:proofErr w:type="gramEnd"/>
      <w:r w:rsidRPr="00B96AB6">
        <w:rPr>
          <w:rFonts w:ascii="Arial" w:hAnsi="Arial" w:cs="Arial"/>
          <w:szCs w:val="24"/>
        </w:rPr>
        <w:t>) Que o regulamento do fundo de investimento em direitos creditórios determine que o devedor ou coobrigado do direito creditório tenha suas demonstrações financeiras auditadas por auditor independente registrado na CVM e publicadas, no mínimo, anualmente.</w:t>
      </w:r>
    </w:p>
    <w:p w:rsidR="00CF771B" w:rsidRPr="00B96AB6" w:rsidRDefault="00CF771B" w:rsidP="00CF771B">
      <w:pPr>
        <w:keepLines/>
        <w:widowControl w:val="0"/>
        <w:tabs>
          <w:tab w:val="left" w:pos="426"/>
        </w:tabs>
        <w:spacing w:before="60" w:after="60" w:line="360" w:lineRule="auto"/>
        <w:jc w:val="both"/>
        <w:rPr>
          <w:rFonts w:ascii="Arial" w:hAnsi="Arial" w:cs="Arial"/>
          <w:szCs w:val="24"/>
        </w:rPr>
      </w:pPr>
    </w:p>
    <w:p w:rsidR="00CF771B" w:rsidRPr="00B96AB6" w:rsidRDefault="00CF771B" w:rsidP="00CF771B">
      <w:pPr>
        <w:keepLines/>
        <w:widowControl w:val="0"/>
        <w:tabs>
          <w:tab w:val="left" w:pos="426"/>
        </w:tabs>
        <w:spacing w:before="60" w:after="60" w:line="360" w:lineRule="auto"/>
        <w:ind w:firstLine="709"/>
        <w:jc w:val="both"/>
        <w:rPr>
          <w:rFonts w:ascii="Arial" w:eastAsia="Times New Roman" w:hAnsi="Arial" w:cs="Arial"/>
          <w:szCs w:val="24"/>
          <w:lang w:eastAsia="pt-BR"/>
        </w:rPr>
      </w:pPr>
      <w:r w:rsidRPr="00B96AB6">
        <w:rPr>
          <w:rFonts w:ascii="Arial" w:hAnsi="Arial" w:cs="Arial"/>
          <w:szCs w:val="24"/>
        </w:rPr>
        <w:t xml:space="preserve">O total das aplicações dos recursos do regime próprio de previdência social em um mesmo fundo de investimento deverá representar, no máximo, 15% (quinze por cento) do patrimônio líquido do fundo, </w:t>
      </w:r>
      <w:r w:rsidRPr="00B96AB6">
        <w:rPr>
          <w:rFonts w:ascii="Arial" w:eastAsia="Times New Roman" w:hAnsi="Arial" w:cs="Arial"/>
          <w:szCs w:val="24"/>
          <w:lang w:eastAsia="pt-BR"/>
        </w:rPr>
        <w:t xml:space="preserve">sendo que, esse limite se reduz para 5% nos casos dos investimentos em: </w:t>
      </w:r>
      <w:proofErr w:type="spellStart"/>
      <w:r w:rsidRPr="00B96AB6">
        <w:rPr>
          <w:rFonts w:ascii="Arial" w:eastAsia="Times New Roman" w:hAnsi="Arial" w:cs="Arial"/>
          <w:szCs w:val="24"/>
          <w:lang w:eastAsia="pt-BR"/>
        </w:rPr>
        <w:t>FIDC’s</w:t>
      </w:r>
      <w:proofErr w:type="spellEnd"/>
      <w:r w:rsidRPr="00B96AB6">
        <w:rPr>
          <w:rFonts w:ascii="Arial" w:eastAsia="Times New Roman" w:hAnsi="Arial" w:cs="Arial"/>
          <w:szCs w:val="24"/>
          <w:lang w:eastAsia="pt-BR"/>
        </w:rPr>
        <w:t xml:space="preserve">, Fundos Multimercado, </w:t>
      </w:r>
      <w:proofErr w:type="spellStart"/>
      <w:r w:rsidRPr="00B96AB6">
        <w:rPr>
          <w:rFonts w:ascii="Arial" w:eastAsia="Times New Roman" w:hAnsi="Arial" w:cs="Arial"/>
          <w:szCs w:val="24"/>
          <w:lang w:eastAsia="pt-BR"/>
        </w:rPr>
        <w:t>FIP’s</w:t>
      </w:r>
      <w:proofErr w:type="spellEnd"/>
      <w:r w:rsidRPr="00B96AB6">
        <w:rPr>
          <w:rFonts w:ascii="Arial" w:eastAsia="Times New Roman" w:hAnsi="Arial" w:cs="Arial"/>
          <w:szCs w:val="24"/>
          <w:lang w:eastAsia="pt-BR"/>
        </w:rPr>
        <w:t xml:space="preserve"> e </w:t>
      </w:r>
      <w:proofErr w:type="spellStart"/>
      <w:r w:rsidRPr="00B96AB6">
        <w:rPr>
          <w:rFonts w:ascii="Arial" w:eastAsia="Times New Roman" w:hAnsi="Arial" w:cs="Arial"/>
          <w:szCs w:val="24"/>
          <w:lang w:eastAsia="pt-BR"/>
        </w:rPr>
        <w:t>FII’s</w:t>
      </w:r>
      <w:proofErr w:type="spellEnd"/>
      <w:r w:rsidRPr="00B96AB6">
        <w:rPr>
          <w:rFonts w:ascii="Arial" w:eastAsia="Times New Roman" w:hAnsi="Arial" w:cs="Arial"/>
          <w:szCs w:val="24"/>
          <w:lang w:eastAsia="pt-BR"/>
        </w:rPr>
        <w:t>.</w:t>
      </w:r>
    </w:p>
    <w:p w:rsidR="00CF771B" w:rsidRPr="00B96AB6" w:rsidRDefault="00CF771B" w:rsidP="00CF771B">
      <w:pPr>
        <w:keepLines/>
        <w:widowControl w:val="0"/>
        <w:tabs>
          <w:tab w:val="left" w:pos="426"/>
        </w:tabs>
        <w:spacing w:before="60" w:after="60" w:line="360" w:lineRule="auto"/>
        <w:jc w:val="both"/>
        <w:rPr>
          <w:rFonts w:ascii="Arial" w:hAnsi="Arial" w:cs="Arial"/>
          <w:szCs w:val="24"/>
        </w:rPr>
      </w:pPr>
    </w:p>
    <w:p w:rsidR="00CF771B" w:rsidRPr="00B96AB6" w:rsidRDefault="00CF771B" w:rsidP="00CF771B">
      <w:pPr>
        <w:keepLines/>
        <w:widowControl w:val="0"/>
        <w:tabs>
          <w:tab w:val="left" w:pos="426"/>
        </w:tabs>
        <w:spacing w:before="60" w:after="60" w:line="360" w:lineRule="auto"/>
        <w:ind w:firstLine="709"/>
        <w:jc w:val="both"/>
        <w:rPr>
          <w:rFonts w:ascii="Arial" w:hAnsi="Arial" w:cs="Arial"/>
          <w:b/>
          <w:szCs w:val="24"/>
        </w:rPr>
      </w:pPr>
      <w:r w:rsidRPr="00B96AB6">
        <w:rPr>
          <w:rFonts w:ascii="Arial" w:hAnsi="Arial" w:cs="Arial"/>
          <w:b/>
          <w:szCs w:val="24"/>
        </w:rPr>
        <w:lastRenderedPageBreak/>
        <w:t>Está vedado aplicar recursos na aquisição de cotas de fundo de investimento cujas carteiras contenham títulos que ente federativo figure como devedor ou preste fiança, aval, aceite ou coobrigação sob qualquer outra forma.</w:t>
      </w:r>
    </w:p>
    <w:p w:rsidR="00CF771B" w:rsidRDefault="00CF771B" w:rsidP="00CF771B">
      <w:pPr>
        <w:rPr>
          <w:rFonts w:ascii="Arial" w:hAnsi="Arial" w:cs="Arial"/>
          <w:sz w:val="20"/>
          <w:szCs w:val="44"/>
        </w:rPr>
      </w:pPr>
    </w:p>
    <w:p w:rsidR="00CF771B" w:rsidRPr="00B96AB6" w:rsidRDefault="00CF771B" w:rsidP="00CF771B">
      <w:pPr>
        <w:keepLines/>
        <w:widowControl w:val="0"/>
        <w:tabs>
          <w:tab w:val="left" w:pos="426"/>
        </w:tabs>
        <w:spacing w:before="60" w:after="60" w:line="360" w:lineRule="auto"/>
        <w:ind w:firstLine="709"/>
        <w:jc w:val="both"/>
        <w:rPr>
          <w:rFonts w:ascii="Arial" w:hAnsi="Arial" w:cs="Arial"/>
          <w:szCs w:val="24"/>
        </w:rPr>
      </w:pPr>
      <w:r w:rsidRPr="00B96AB6">
        <w:rPr>
          <w:rFonts w:ascii="Arial" w:hAnsi="Arial" w:cs="Arial"/>
          <w:szCs w:val="24"/>
        </w:rPr>
        <w:t xml:space="preserve">Estão proibidos todos os tipos de operações com derivativos, </w:t>
      </w:r>
      <w:r>
        <w:rPr>
          <w:rFonts w:ascii="Arial" w:hAnsi="Arial" w:cs="Arial"/>
          <w:szCs w:val="24"/>
        </w:rPr>
        <w:t>exceto</w:t>
      </w:r>
      <w:r w:rsidRPr="00B96AB6">
        <w:rPr>
          <w:rFonts w:ascii="Arial" w:hAnsi="Arial" w:cs="Arial"/>
          <w:szCs w:val="24"/>
        </w:rPr>
        <w:t xml:space="preserve"> aquelas para proteção da carteira de fundos de </w:t>
      </w:r>
      <w:r w:rsidRPr="00B96AB6">
        <w:rPr>
          <w:rFonts w:ascii="Arial" w:hAnsi="Arial" w:cs="Arial"/>
          <w:color w:val="000000" w:themeColor="text1"/>
          <w:szCs w:val="24"/>
        </w:rPr>
        <w:t>investimentos (</w:t>
      </w:r>
      <w:r>
        <w:rPr>
          <w:rFonts w:ascii="Arial" w:hAnsi="Arial" w:cs="Arial"/>
          <w:i/>
          <w:color w:val="000000" w:themeColor="text1"/>
          <w:szCs w:val="24"/>
        </w:rPr>
        <w:t>hedge</w:t>
      </w:r>
      <w:r w:rsidRPr="00B96AB6">
        <w:rPr>
          <w:rFonts w:ascii="Arial" w:hAnsi="Arial" w:cs="Arial"/>
          <w:i/>
          <w:color w:val="000000" w:themeColor="text1"/>
          <w:szCs w:val="24"/>
        </w:rPr>
        <w:t>)</w:t>
      </w:r>
      <w:r w:rsidRPr="00B96AB6">
        <w:rPr>
          <w:rFonts w:ascii="Arial" w:hAnsi="Arial" w:cs="Arial"/>
          <w:color w:val="000000" w:themeColor="text1"/>
          <w:szCs w:val="24"/>
        </w:rPr>
        <w:t>,</w:t>
      </w:r>
      <w:r w:rsidRPr="00B96AB6">
        <w:rPr>
          <w:rFonts w:ascii="Arial" w:hAnsi="Arial" w:cs="Arial"/>
          <w:szCs w:val="24"/>
        </w:rPr>
        <w:t xml:space="preserve"> ainda assim limitadas a uma vez o patrimônio líquido do fundo. </w:t>
      </w:r>
    </w:p>
    <w:p w:rsidR="00CF771B" w:rsidRPr="00B96AB6" w:rsidRDefault="00CF771B" w:rsidP="00CF771B">
      <w:pPr>
        <w:keepLines/>
        <w:widowControl w:val="0"/>
        <w:tabs>
          <w:tab w:val="left" w:pos="426"/>
        </w:tabs>
        <w:spacing w:before="60" w:after="60" w:line="360" w:lineRule="auto"/>
        <w:ind w:firstLine="709"/>
        <w:jc w:val="both"/>
        <w:rPr>
          <w:rFonts w:ascii="Arial" w:hAnsi="Arial" w:cs="Arial"/>
          <w:szCs w:val="24"/>
        </w:rPr>
      </w:pPr>
      <w:r w:rsidRPr="00B96AB6">
        <w:rPr>
          <w:rFonts w:ascii="Arial" w:hAnsi="Arial" w:cs="Arial"/>
          <w:szCs w:val="24"/>
        </w:rPr>
        <w:t>Est</w:t>
      </w:r>
      <w:r w:rsidR="00461A31">
        <w:rPr>
          <w:rFonts w:ascii="Arial" w:hAnsi="Arial" w:cs="Arial"/>
          <w:szCs w:val="24"/>
        </w:rPr>
        <w:t>ão</w:t>
      </w:r>
      <w:r w:rsidRPr="00B96AB6">
        <w:rPr>
          <w:rFonts w:ascii="Arial" w:hAnsi="Arial" w:cs="Arial"/>
          <w:szCs w:val="24"/>
        </w:rPr>
        <w:t xml:space="preserve"> vedado</w:t>
      </w:r>
      <w:r w:rsidR="00461A31">
        <w:rPr>
          <w:rFonts w:ascii="Arial" w:hAnsi="Arial" w:cs="Arial"/>
          <w:szCs w:val="24"/>
        </w:rPr>
        <w:t>s</w:t>
      </w:r>
      <w:r w:rsidRPr="00B96AB6">
        <w:rPr>
          <w:rFonts w:ascii="Arial" w:hAnsi="Arial" w:cs="Arial"/>
          <w:szCs w:val="24"/>
        </w:rPr>
        <w:t xml:space="preserve"> investimentos de recursos na aquisição de cotas de fundo de investimento em direitos creditórios não padronizados.</w:t>
      </w:r>
    </w:p>
    <w:p w:rsidR="00CF771B" w:rsidRPr="00B96AB6" w:rsidRDefault="00CF771B" w:rsidP="00CF771B">
      <w:pPr>
        <w:keepLines/>
        <w:widowControl w:val="0"/>
        <w:tabs>
          <w:tab w:val="left" w:pos="426"/>
        </w:tabs>
        <w:spacing w:before="60" w:after="60" w:line="360" w:lineRule="auto"/>
        <w:ind w:firstLine="709"/>
        <w:jc w:val="both"/>
        <w:rPr>
          <w:rFonts w:ascii="Arial" w:hAnsi="Arial" w:cs="Arial"/>
          <w:szCs w:val="24"/>
        </w:rPr>
      </w:pPr>
      <w:r w:rsidRPr="00B96AB6">
        <w:rPr>
          <w:rFonts w:ascii="Arial" w:hAnsi="Arial" w:cs="Arial"/>
          <w:szCs w:val="24"/>
        </w:rPr>
        <w:t xml:space="preserve">Está vedado qualquer investimento em Fundos de Investimentos ou Fundo em Cotas de Fundos de Investimentos, que não preveja em seu regulamento a impossibilidade de operações do tipo </w:t>
      </w:r>
      <w:proofErr w:type="spellStart"/>
      <w:proofErr w:type="gramStart"/>
      <w:r w:rsidRPr="00B96AB6">
        <w:rPr>
          <w:rFonts w:ascii="Arial" w:hAnsi="Arial" w:cs="Arial"/>
          <w:i/>
          <w:szCs w:val="24"/>
        </w:rPr>
        <w:t>day</w:t>
      </w:r>
      <w:proofErr w:type="spellEnd"/>
      <w:proofErr w:type="gramEnd"/>
      <w:r w:rsidRPr="00B96AB6">
        <w:rPr>
          <w:rFonts w:ascii="Arial" w:hAnsi="Arial" w:cs="Arial"/>
          <w:i/>
          <w:szCs w:val="24"/>
        </w:rPr>
        <w:t>-trade</w:t>
      </w:r>
      <w:r w:rsidRPr="00B96AB6">
        <w:rPr>
          <w:rFonts w:ascii="Arial" w:hAnsi="Arial" w:cs="Arial"/>
          <w:szCs w:val="24"/>
        </w:rPr>
        <w:t>.</w:t>
      </w:r>
    </w:p>
    <w:p w:rsidR="00CF771B" w:rsidRPr="00B96AB6" w:rsidRDefault="00CF771B" w:rsidP="00CF771B">
      <w:pPr>
        <w:keepLines/>
        <w:widowControl w:val="0"/>
        <w:tabs>
          <w:tab w:val="left" w:pos="426"/>
        </w:tabs>
        <w:spacing w:before="60" w:after="60" w:line="360" w:lineRule="auto"/>
        <w:ind w:firstLine="709"/>
        <w:jc w:val="both"/>
        <w:rPr>
          <w:rFonts w:ascii="Arial" w:hAnsi="Arial" w:cs="Arial"/>
          <w:szCs w:val="24"/>
        </w:rPr>
      </w:pPr>
      <w:r w:rsidRPr="00B96AB6">
        <w:rPr>
          <w:rFonts w:ascii="Arial" w:hAnsi="Arial" w:cs="Arial"/>
          <w:szCs w:val="24"/>
        </w:rPr>
        <w:t>Estão vedados os investimentos em Fundos de Investimentos em gestoras ou administradoras que não se disponham a fornecer a carteira aberta dos fundos de investimentos, em período máximo defasado de cinco dias úteis da data do fechamento do mês, ou da data do investimento, ou ainda da data da solicitação.</w:t>
      </w:r>
    </w:p>
    <w:p w:rsidR="00CF771B" w:rsidRPr="00B96AB6" w:rsidRDefault="00CF771B" w:rsidP="00CF771B">
      <w:pPr>
        <w:keepLines/>
        <w:widowControl w:val="0"/>
        <w:tabs>
          <w:tab w:val="left" w:pos="426"/>
        </w:tabs>
        <w:spacing w:before="60" w:after="60" w:line="360" w:lineRule="auto"/>
        <w:ind w:firstLine="709"/>
        <w:jc w:val="both"/>
        <w:rPr>
          <w:rFonts w:ascii="Arial" w:hAnsi="Arial" w:cs="Arial"/>
          <w:szCs w:val="24"/>
        </w:rPr>
      </w:pPr>
      <w:r w:rsidRPr="00B96AB6">
        <w:rPr>
          <w:rFonts w:ascii="Arial" w:hAnsi="Arial" w:cs="Arial"/>
          <w:szCs w:val="24"/>
        </w:rPr>
        <w:t>Está proibida a atuação em modalidades operacionais ou negociar com duplicatas, títulos de crédito ou outros ativos que não os previstos na Resolução n.º 3</w:t>
      </w:r>
      <w:r w:rsidR="00461A31">
        <w:rPr>
          <w:rFonts w:ascii="Arial" w:hAnsi="Arial" w:cs="Arial"/>
          <w:szCs w:val="24"/>
        </w:rPr>
        <w:t>.</w:t>
      </w:r>
      <w:r w:rsidRPr="00B96AB6">
        <w:rPr>
          <w:rFonts w:ascii="Arial" w:hAnsi="Arial" w:cs="Arial"/>
          <w:szCs w:val="24"/>
        </w:rPr>
        <w:t>922/2010.</w:t>
      </w:r>
    </w:p>
    <w:p w:rsidR="00CF771B" w:rsidRDefault="00CF771B" w:rsidP="00CF771B">
      <w:pPr>
        <w:keepLines/>
        <w:widowControl w:val="0"/>
        <w:tabs>
          <w:tab w:val="left" w:pos="426"/>
        </w:tabs>
        <w:spacing w:before="60" w:after="60" w:line="360" w:lineRule="auto"/>
        <w:ind w:firstLine="709"/>
        <w:jc w:val="both"/>
        <w:rPr>
          <w:rFonts w:ascii="Arial" w:hAnsi="Arial" w:cs="Arial"/>
          <w:b/>
          <w:color w:val="000000" w:themeColor="text1"/>
        </w:rPr>
      </w:pPr>
      <w:r w:rsidRPr="00B96AB6">
        <w:rPr>
          <w:rFonts w:ascii="Arial" w:hAnsi="Arial" w:cs="Arial"/>
          <w:b/>
          <w:color w:val="000000" w:themeColor="text1"/>
        </w:rPr>
        <w:t>Se este regim</w:t>
      </w:r>
      <w:r>
        <w:rPr>
          <w:rFonts w:ascii="Arial" w:hAnsi="Arial" w:cs="Arial"/>
          <w:b/>
          <w:color w:val="000000" w:themeColor="text1"/>
        </w:rPr>
        <w:t xml:space="preserve">e próprio de previdência social </w:t>
      </w:r>
      <w:r w:rsidRPr="00B96AB6">
        <w:rPr>
          <w:rFonts w:ascii="Arial" w:hAnsi="Arial" w:cs="Arial"/>
          <w:b/>
          <w:color w:val="000000" w:themeColor="text1"/>
        </w:rPr>
        <w:t xml:space="preserve">comprovar a adoção de melhores práticas de gestão previdenciária à Secretaria de Previdência do Ministério da Fazenda, conforme </w:t>
      </w:r>
      <w:proofErr w:type="gramStart"/>
      <w:r w:rsidRPr="00B96AB6">
        <w:rPr>
          <w:rFonts w:ascii="Arial" w:hAnsi="Arial" w:cs="Arial"/>
          <w:b/>
          <w:color w:val="000000" w:themeColor="text1"/>
        </w:rPr>
        <w:t>4</w:t>
      </w:r>
      <w:proofErr w:type="gramEnd"/>
      <w:r w:rsidRPr="00B96AB6">
        <w:rPr>
          <w:rFonts w:ascii="Arial" w:hAnsi="Arial" w:cs="Arial"/>
          <w:b/>
          <w:color w:val="000000" w:themeColor="text1"/>
        </w:rPr>
        <w:t xml:space="preserve"> (quatro) níveis crescentes de aderência na forma por ela estabelecid</w:t>
      </w:r>
      <w:r w:rsidR="00140637">
        <w:rPr>
          <w:rFonts w:ascii="Arial" w:hAnsi="Arial" w:cs="Arial"/>
          <w:b/>
          <w:color w:val="000000" w:themeColor="text1"/>
        </w:rPr>
        <w:t>a</w:t>
      </w:r>
      <w:r w:rsidRPr="00B96AB6">
        <w:rPr>
          <w:rFonts w:ascii="Arial" w:hAnsi="Arial" w:cs="Arial"/>
          <w:b/>
          <w:color w:val="000000" w:themeColor="text1"/>
        </w:rPr>
        <w:t xml:space="preserve"> no Programa Pró- Gestão, terá os limites para aplicação dos recursos nos ativos elevados conforme estabelecido na Resolução 3.922/10</w:t>
      </w:r>
      <w:r>
        <w:rPr>
          <w:rFonts w:ascii="Arial" w:hAnsi="Arial" w:cs="Arial"/>
          <w:b/>
          <w:color w:val="000000" w:themeColor="text1"/>
        </w:rPr>
        <w:t>, alterada pela Resolução 4.695/2018.</w:t>
      </w:r>
    </w:p>
    <w:p w:rsidR="00935A9E" w:rsidRDefault="00935A9E" w:rsidP="00CF771B">
      <w:pPr>
        <w:keepLines/>
        <w:widowControl w:val="0"/>
        <w:tabs>
          <w:tab w:val="left" w:pos="426"/>
        </w:tabs>
        <w:spacing w:before="60" w:after="60" w:line="360" w:lineRule="auto"/>
        <w:ind w:firstLine="709"/>
        <w:jc w:val="both"/>
        <w:rPr>
          <w:rFonts w:ascii="Arial" w:hAnsi="Arial" w:cs="Arial"/>
          <w:b/>
          <w:color w:val="000000" w:themeColor="text1"/>
        </w:rPr>
      </w:pPr>
    </w:p>
    <w:p w:rsidR="00935A9E" w:rsidRDefault="00935A9E" w:rsidP="00CF771B">
      <w:pPr>
        <w:keepLines/>
        <w:widowControl w:val="0"/>
        <w:tabs>
          <w:tab w:val="left" w:pos="426"/>
        </w:tabs>
        <w:spacing w:before="60" w:after="60" w:line="360" w:lineRule="auto"/>
        <w:ind w:firstLine="709"/>
        <w:jc w:val="both"/>
        <w:rPr>
          <w:rFonts w:ascii="Arial" w:hAnsi="Arial" w:cs="Arial"/>
          <w:b/>
          <w:color w:val="000000" w:themeColor="text1"/>
        </w:rPr>
      </w:pPr>
    </w:p>
    <w:p w:rsidR="00935A9E" w:rsidRDefault="00935A9E" w:rsidP="00CF771B">
      <w:pPr>
        <w:keepLines/>
        <w:widowControl w:val="0"/>
        <w:tabs>
          <w:tab w:val="left" w:pos="426"/>
        </w:tabs>
        <w:spacing w:before="60" w:after="60" w:line="360" w:lineRule="auto"/>
        <w:ind w:firstLine="709"/>
        <w:jc w:val="both"/>
        <w:rPr>
          <w:rFonts w:ascii="Arial" w:hAnsi="Arial" w:cs="Arial"/>
          <w:b/>
          <w:color w:val="000000" w:themeColor="text1"/>
        </w:rPr>
      </w:pPr>
    </w:p>
    <w:p w:rsidR="00935A9E" w:rsidRDefault="00935A9E" w:rsidP="00CF771B">
      <w:pPr>
        <w:keepLines/>
        <w:widowControl w:val="0"/>
        <w:tabs>
          <w:tab w:val="left" w:pos="426"/>
        </w:tabs>
        <w:spacing w:before="60" w:after="60" w:line="360" w:lineRule="auto"/>
        <w:ind w:firstLine="709"/>
        <w:jc w:val="both"/>
        <w:rPr>
          <w:rFonts w:ascii="Arial" w:hAnsi="Arial" w:cs="Arial"/>
          <w:b/>
          <w:color w:val="000000" w:themeColor="text1"/>
        </w:rPr>
      </w:pPr>
    </w:p>
    <w:p w:rsidR="00935A9E" w:rsidRDefault="00935A9E" w:rsidP="00CF771B">
      <w:pPr>
        <w:keepLines/>
        <w:widowControl w:val="0"/>
        <w:tabs>
          <w:tab w:val="left" w:pos="426"/>
        </w:tabs>
        <w:spacing w:before="60" w:after="60" w:line="360" w:lineRule="auto"/>
        <w:ind w:firstLine="709"/>
        <w:jc w:val="both"/>
        <w:rPr>
          <w:rFonts w:ascii="Arial" w:hAnsi="Arial" w:cs="Arial"/>
          <w:b/>
          <w:color w:val="000000" w:themeColor="text1"/>
        </w:rPr>
      </w:pPr>
    </w:p>
    <w:p w:rsidR="00935A9E" w:rsidRDefault="00935A9E" w:rsidP="00CF771B">
      <w:pPr>
        <w:keepLines/>
        <w:widowControl w:val="0"/>
        <w:tabs>
          <w:tab w:val="left" w:pos="426"/>
        </w:tabs>
        <w:spacing w:before="60" w:after="60" w:line="360" w:lineRule="auto"/>
        <w:ind w:firstLine="709"/>
        <w:jc w:val="both"/>
        <w:rPr>
          <w:rFonts w:ascii="Arial" w:hAnsi="Arial" w:cs="Arial"/>
          <w:b/>
          <w:color w:val="000000" w:themeColor="text1"/>
        </w:rPr>
      </w:pPr>
    </w:p>
    <w:p w:rsidR="00CF771B" w:rsidRPr="006B3807" w:rsidRDefault="00CF771B" w:rsidP="00CF771B">
      <w:pPr>
        <w:pStyle w:val="Ttulo1"/>
        <w:spacing w:line="360" w:lineRule="auto"/>
        <w:jc w:val="both"/>
        <w:rPr>
          <w:rFonts w:ascii="Arial" w:hAnsi="Arial" w:cs="Arial"/>
          <w:color w:val="000000" w:themeColor="text1"/>
          <w:sz w:val="22"/>
          <w:szCs w:val="22"/>
        </w:rPr>
      </w:pPr>
      <w:bookmarkStart w:id="9" w:name="_Toc536189696"/>
      <w:bookmarkStart w:id="10" w:name="_Toc20133924"/>
      <w:r w:rsidRPr="006B3807">
        <w:rPr>
          <w:rFonts w:ascii="Arial" w:hAnsi="Arial" w:cs="Arial"/>
          <w:color w:val="000000" w:themeColor="text1"/>
          <w:sz w:val="22"/>
          <w:szCs w:val="22"/>
        </w:rPr>
        <w:lastRenderedPageBreak/>
        <w:t>5 - CENÁRIO MACROECONÔMICO E PROJEÇÕES ECONÔMICAS</w:t>
      </w:r>
      <w:bookmarkEnd w:id="9"/>
      <w:bookmarkEnd w:id="10"/>
    </w:p>
    <w:p w:rsidR="00CF771B" w:rsidRPr="006B3807" w:rsidRDefault="00CF771B" w:rsidP="00CF771B">
      <w:pPr>
        <w:keepLines/>
        <w:widowControl w:val="0"/>
        <w:tabs>
          <w:tab w:val="left" w:pos="426"/>
        </w:tabs>
        <w:spacing w:before="60" w:after="60" w:line="360" w:lineRule="auto"/>
        <w:jc w:val="both"/>
        <w:rPr>
          <w:rFonts w:ascii="Arial" w:hAnsi="Arial" w:cs="Arial"/>
          <w:b/>
          <w:color w:val="000000" w:themeColor="text1"/>
          <w:szCs w:val="24"/>
        </w:rPr>
      </w:pPr>
    </w:p>
    <w:p w:rsidR="00CF771B" w:rsidRDefault="00CF771B" w:rsidP="00CF771B">
      <w:pPr>
        <w:keepLines/>
        <w:widowControl w:val="0"/>
        <w:tabs>
          <w:tab w:val="left" w:pos="426"/>
        </w:tabs>
        <w:spacing w:before="60" w:after="60" w:line="360" w:lineRule="auto"/>
        <w:ind w:firstLine="709"/>
        <w:jc w:val="both"/>
        <w:rPr>
          <w:rFonts w:ascii="Arial" w:hAnsi="Arial" w:cs="Arial"/>
          <w:szCs w:val="24"/>
        </w:rPr>
      </w:pPr>
      <w:r w:rsidRPr="006B3807">
        <w:rPr>
          <w:rFonts w:ascii="Arial" w:hAnsi="Arial" w:cs="Arial"/>
          <w:szCs w:val="24"/>
        </w:rPr>
        <w:t xml:space="preserve">Para embasar as decisões de investimento do RPPS será elaborado cenário macroeconômico com revisões mensais. Para estas projeções com indicadores macroeconômicos de curto prazo do </w:t>
      </w:r>
      <w:r w:rsidRPr="006B3807">
        <w:rPr>
          <w:rFonts w:ascii="Arial" w:hAnsi="Arial" w:cs="Arial"/>
          <w:color w:val="000000"/>
          <w:szCs w:val="24"/>
        </w:rPr>
        <w:t>exercício de 20</w:t>
      </w:r>
      <w:r>
        <w:rPr>
          <w:rFonts w:ascii="Arial" w:hAnsi="Arial" w:cs="Arial"/>
          <w:color w:val="000000"/>
          <w:szCs w:val="24"/>
        </w:rPr>
        <w:t>2</w:t>
      </w:r>
      <w:r w:rsidR="00971EA6">
        <w:rPr>
          <w:rFonts w:ascii="Arial" w:hAnsi="Arial" w:cs="Arial"/>
          <w:color w:val="000000"/>
          <w:szCs w:val="24"/>
        </w:rPr>
        <w:t>1</w:t>
      </w:r>
      <w:r w:rsidRPr="006B3807">
        <w:rPr>
          <w:rFonts w:ascii="Arial" w:hAnsi="Arial" w:cs="Arial"/>
          <w:color w:val="000000"/>
          <w:szCs w:val="24"/>
        </w:rPr>
        <w:t xml:space="preserve"> serão usados</w:t>
      </w:r>
      <w:r w:rsidR="00461A31">
        <w:rPr>
          <w:rFonts w:ascii="Arial" w:hAnsi="Arial" w:cs="Arial"/>
          <w:color w:val="000000"/>
          <w:szCs w:val="24"/>
        </w:rPr>
        <w:t xml:space="preserve"> como base</w:t>
      </w:r>
      <w:r w:rsidRPr="006B3807">
        <w:rPr>
          <w:rFonts w:ascii="Arial" w:hAnsi="Arial" w:cs="Arial"/>
          <w:szCs w:val="24"/>
        </w:rPr>
        <w:t xml:space="preserve"> o</w:t>
      </w:r>
      <w:r w:rsidR="005B5436">
        <w:rPr>
          <w:rFonts w:ascii="Arial" w:hAnsi="Arial" w:cs="Arial"/>
          <w:szCs w:val="24"/>
        </w:rPr>
        <w:t>s</w:t>
      </w:r>
      <w:r w:rsidRPr="006B3807">
        <w:rPr>
          <w:rFonts w:ascii="Arial" w:hAnsi="Arial" w:cs="Arial"/>
          <w:szCs w:val="24"/>
        </w:rPr>
        <w:t xml:space="preserve"> relatório</w:t>
      </w:r>
      <w:r w:rsidR="005B5436">
        <w:rPr>
          <w:rFonts w:ascii="Arial" w:hAnsi="Arial" w:cs="Arial"/>
          <w:szCs w:val="24"/>
        </w:rPr>
        <w:t>s</w:t>
      </w:r>
      <w:r w:rsidRPr="006B3807">
        <w:rPr>
          <w:rFonts w:ascii="Arial" w:hAnsi="Arial" w:cs="Arial"/>
          <w:szCs w:val="24"/>
        </w:rPr>
        <w:t xml:space="preserve"> FOCUS do Banco Central</w:t>
      </w:r>
      <w:r w:rsidR="00BA5556">
        <w:rPr>
          <w:rFonts w:ascii="Arial" w:hAnsi="Arial" w:cs="Arial"/>
          <w:szCs w:val="24"/>
        </w:rPr>
        <w:t xml:space="preserve"> do Brasil</w:t>
      </w:r>
      <w:r w:rsidRPr="006B3807">
        <w:rPr>
          <w:rFonts w:ascii="Arial" w:hAnsi="Arial" w:cs="Arial"/>
          <w:szCs w:val="24"/>
        </w:rPr>
        <w:t xml:space="preserve"> e</w:t>
      </w:r>
      <w:r w:rsidR="00461A31">
        <w:rPr>
          <w:rFonts w:ascii="Arial" w:hAnsi="Arial" w:cs="Arial"/>
          <w:szCs w:val="24"/>
        </w:rPr>
        <w:t xml:space="preserve"> </w:t>
      </w:r>
      <w:r w:rsidR="005B5436">
        <w:rPr>
          <w:rFonts w:ascii="Arial" w:hAnsi="Arial" w:cs="Arial"/>
          <w:szCs w:val="24"/>
        </w:rPr>
        <w:t>de</w:t>
      </w:r>
      <w:r w:rsidRPr="006B3807">
        <w:rPr>
          <w:rFonts w:ascii="Arial" w:hAnsi="Arial" w:cs="Arial"/>
          <w:szCs w:val="24"/>
        </w:rPr>
        <w:t xml:space="preserve"> Mercado da ANBIMA.</w:t>
      </w:r>
    </w:p>
    <w:p w:rsidR="00935A9E" w:rsidRPr="006B3807" w:rsidRDefault="00935A9E" w:rsidP="00CF771B">
      <w:pPr>
        <w:keepLines/>
        <w:widowControl w:val="0"/>
        <w:tabs>
          <w:tab w:val="left" w:pos="426"/>
        </w:tabs>
        <w:spacing w:before="60" w:after="60" w:line="360" w:lineRule="auto"/>
        <w:ind w:firstLine="709"/>
        <w:jc w:val="both"/>
        <w:rPr>
          <w:rFonts w:ascii="Arial" w:hAnsi="Arial" w:cs="Arial"/>
          <w:szCs w:val="24"/>
        </w:rPr>
      </w:pPr>
    </w:p>
    <w:p w:rsidR="00CF771B" w:rsidRPr="006B3807" w:rsidRDefault="00CF771B" w:rsidP="00CF771B">
      <w:pPr>
        <w:pStyle w:val="Ttulo2"/>
        <w:spacing w:line="360" w:lineRule="auto"/>
        <w:rPr>
          <w:rFonts w:ascii="Arial" w:hAnsi="Arial" w:cs="Arial"/>
          <w:color w:val="000000" w:themeColor="text1"/>
          <w:sz w:val="22"/>
          <w:szCs w:val="22"/>
        </w:rPr>
      </w:pPr>
      <w:bookmarkStart w:id="11" w:name="_Toc536189697"/>
      <w:bookmarkStart w:id="12" w:name="_Toc20133925"/>
      <w:r w:rsidRPr="006B3807">
        <w:rPr>
          <w:rFonts w:ascii="Arial" w:hAnsi="Arial" w:cs="Arial"/>
          <w:color w:val="000000" w:themeColor="text1"/>
          <w:sz w:val="22"/>
          <w:szCs w:val="22"/>
        </w:rPr>
        <w:t>5.1 TAXA SELIC</w:t>
      </w:r>
      <w:bookmarkEnd w:id="11"/>
      <w:bookmarkEnd w:id="12"/>
    </w:p>
    <w:p w:rsidR="00971EA6" w:rsidRDefault="00CF771B" w:rsidP="00CF771B">
      <w:pPr>
        <w:keepLines/>
        <w:widowControl w:val="0"/>
        <w:tabs>
          <w:tab w:val="left" w:pos="426"/>
        </w:tabs>
        <w:spacing w:before="60" w:after="60" w:line="360" w:lineRule="auto"/>
        <w:ind w:firstLine="709"/>
        <w:jc w:val="both"/>
        <w:rPr>
          <w:rFonts w:ascii="Arial" w:hAnsi="Arial" w:cs="Arial"/>
        </w:rPr>
      </w:pPr>
      <w:r>
        <w:rPr>
          <w:rFonts w:ascii="Arial" w:hAnsi="Arial" w:cs="Arial"/>
        </w:rPr>
        <w:t>A taxa S</w:t>
      </w:r>
      <w:r w:rsidR="00801E17">
        <w:rPr>
          <w:rFonts w:ascii="Arial" w:hAnsi="Arial" w:cs="Arial"/>
        </w:rPr>
        <w:t>elic</w:t>
      </w:r>
      <w:r>
        <w:rPr>
          <w:rFonts w:ascii="Arial" w:hAnsi="Arial" w:cs="Arial"/>
        </w:rPr>
        <w:t xml:space="preserve"> Meta é</w:t>
      </w:r>
      <w:r w:rsidRPr="006B3807">
        <w:rPr>
          <w:rFonts w:ascii="Arial" w:hAnsi="Arial" w:cs="Arial"/>
        </w:rPr>
        <w:t xml:space="preserve"> o referencial de juros na economia brasileira, além de instrumento de política mone</w:t>
      </w:r>
      <w:r w:rsidR="00971EA6">
        <w:rPr>
          <w:rFonts w:ascii="Arial" w:hAnsi="Arial" w:cs="Arial"/>
        </w:rPr>
        <w:t>tária para controle da inflação. Além de ser um referencial das taxas de juros de mercado, afetando também as rentabilidades dos produtos de renda fixa (que basicamente dependem das taxas de juros).</w:t>
      </w:r>
    </w:p>
    <w:p w:rsidR="00801E17" w:rsidRDefault="00801E17" w:rsidP="00CF771B">
      <w:pPr>
        <w:keepLines/>
        <w:widowControl w:val="0"/>
        <w:tabs>
          <w:tab w:val="left" w:pos="426"/>
        </w:tabs>
        <w:spacing w:before="60" w:after="60" w:line="360" w:lineRule="auto"/>
        <w:ind w:firstLine="709"/>
        <w:jc w:val="both"/>
        <w:rPr>
          <w:rFonts w:ascii="Arial" w:hAnsi="Arial" w:cs="Arial"/>
        </w:rPr>
      </w:pPr>
      <w:r>
        <w:rPr>
          <w:rFonts w:ascii="Arial" w:hAnsi="Arial" w:cs="Arial"/>
        </w:rPr>
        <w:t xml:space="preserve">O movimento de reduções consecutivas da Selic meta observados a partir de 2016 resultou no menor patamar da taxa desde sua implantação, sendo estabelecida em 2,0% a.a. para 2020 pelo COPOM- Comitê de Política Monetária, abaixo das expectativas de mercado em 2019 para este ano, que era de 5,0%. </w:t>
      </w:r>
    </w:p>
    <w:p w:rsidR="001E767A" w:rsidRDefault="001E767A" w:rsidP="00CF771B">
      <w:pPr>
        <w:keepLines/>
        <w:widowControl w:val="0"/>
        <w:tabs>
          <w:tab w:val="left" w:pos="426"/>
        </w:tabs>
        <w:spacing w:before="60" w:after="60" w:line="360" w:lineRule="auto"/>
        <w:ind w:firstLine="709"/>
        <w:jc w:val="both"/>
        <w:rPr>
          <w:rFonts w:ascii="Arial" w:hAnsi="Arial" w:cs="Arial"/>
        </w:rPr>
      </w:pPr>
      <w:r>
        <w:rPr>
          <w:rFonts w:ascii="Arial" w:hAnsi="Arial" w:cs="Arial"/>
        </w:rPr>
        <w:t>Contribui para a manutenção neste n</w:t>
      </w:r>
      <w:r w:rsidR="00935A9E">
        <w:rPr>
          <w:rFonts w:ascii="Arial" w:hAnsi="Arial" w:cs="Arial"/>
        </w:rPr>
        <w:t>ível:</w:t>
      </w:r>
    </w:p>
    <w:p w:rsidR="007A0B84" w:rsidRDefault="007A0B84" w:rsidP="007A0B84">
      <w:pPr>
        <w:keepLines/>
        <w:widowControl w:val="0"/>
        <w:tabs>
          <w:tab w:val="left" w:pos="426"/>
        </w:tabs>
        <w:spacing w:before="60" w:after="60" w:line="360" w:lineRule="auto"/>
        <w:jc w:val="both"/>
        <w:rPr>
          <w:rFonts w:ascii="Arial" w:hAnsi="Arial" w:cs="Arial"/>
        </w:rPr>
      </w:pPr>
    </w:p>
    <w:p w:rsidR="00935A9E" w:rsidRDefault="00935A9E" w:rsidP="00935A9E">
      <w:pPr>
        <w:pStyle w:val="PargrafodaLista"/>
        <w:keepLines/>
        <w:widowControl w:val="0"/>
        <w:numPr>
          <w:ilvl w:val="0"/>
          <w:numId w:val="7"/>
        </w:numPr>
        <w:tabs>
          <w:tab w:val="left" w:pos="426"/>
        </w:tabs>
        <w:spacing w:before="60" w:after="60" w:line="360" w:lineRule="auto"/>
        <w:rPr>
          <w:rFonts w:ascii="Arial" w:hAnsi="Arial" w:cs="Arial"/>
        </w:rPr>
      </w:pPr>
      <w:r>
        <w:rPr>
          <w:rFonts w:ascii="Arial" w:hAnsi="Arial" w:cs="Arial"/>
        </w:rPr>
        <w:t>A estabilidade no nível de preços que vinha sendo observada em períodos anteriores e a baixa atividade econômica, refletida nos resultados do PIB;</w:t>
      </w:r>
    </w:p>
    <w:p w:rsidR="00935A9E" w:rsidRDefault="00935A9E" w:rsidP="00935A9E">
      <w:pPr>
        <w:pStyle w:val="PargrafodaLista"/>
        <w:keepLines/>
        <w:widowControl w:val="0"/>
        <w:numPr>
          <w:ilvl w:val="0"/>
          <w:numId w:val="7"/>
        </w:numPr>
        <w:tabs>
          <w:tab w:val="left" w:pos="426"/>
        </w:tabs>
        <w:spacing w:before="60" w:after="60" w:line="360" w:lineRule="auto"/>
        <w:rPr>
          <w:rFonts w:ascii="Arial" w:hAnsi="Arial" w:cs="Arial"/>
        </w:rPr>
      </w:pPr>
      <w:r>
        <w:rPr>
          <w:rFonts w:ascii="Arial" w:hAnsi="Arial" w:cs="Arial"/>
        </w:rPr>
        <w:t>O ano atípico marcado pela pandemia do C</w:t>
      </w:r>
      <w:r w:rsidR="00130484">
        <w:rPr>
          <w:rFonts w:ascii="Arial" w:hAnsi="Arial" w:cs="Arial"/>
        </w:rPr>
        <w:t>ovid-19 e seu</w:t>
      </w:r>
      <w:r>
        <w:rPr>
          <w:rFonts w:ascii="Arial" w:hAnsi="Arial" w:cs="Arial"/>
        </w:rPr>
        <w:t xml:space="preserve"> </w:t>
      </w:r>
      <w:r w:rsidR="00130484">
        <w:rPr>
          <w:rFonts w:ascii="Arial" w:hAnsi="Arial" w:cs="Arial"/>
        </w:rPr>
        <w:t>impacto</w:t>
      </w:r>
      <w:r>
        <w:rPr>
          <w:rFonts w:ascii="Arial" w:hAnsi="Arial" w:cs="Arial"/>
        </w:rPr>
        <w:t xml:space="preserve"> em todos os setores</w:t>
      </w:r>
      <w:r w:rsidR="00130484">
        <w:rPr>
          <w:rFonts w:ascii="Arial" w:hAnsi="Arial" w:cs="Arial"/>
        </w:rPr>
        <w:t xml:space="preserve">, com efeitos </w:t>
      </w:r>
      <w:r w:rsidR="007A0B84">
        <w:rPr>
          <w:rFonts w:ascii="Arial" w:hAnsi="Arial" w:cs="Arial"/>
        </w:rPr>
        <w:t xml:space="preserve">imediatos </w:t>
      </w:r>
      <w:r w:rsidR="00130484">
        <w:rPr>
          <w:rFonts w:ascii="Arial" w:hAnsi="Arial" w:cs="Arial"/>
        </w:rPr>
        <w:t xml:space="preserve">perversos para a saúde pública e em segundo plano para a economia. </w:t>
      </w:r>
    </w:p>
    <w:p w:rsidR="00130484" w:rsidRDefault="00130484" w:rsidP="00130484">
      <w:pPr>
        <w:keepLines/>
        <w:widowControl w:val="0"/>
        <w:tabs>
          <w:tab w:val="left" w:pos="426"/>
        </w:tabs>
        <w:spacing w:before="60" w:after="60" w:line="360" w:lineRule="auto"/>
        <w:rPr>
          <w:rFonts w:ascii="Arial" w:hAnsi="Arial" w:cs="Arial"/>
        </w:rPr>
      </w:pPr>
    </w:p>
    <w:p w:rsidR="00130484" w:rsidRDefault="00130484" w:rsidP="007A0B84">
      <w:pPr>
        <w:keepLines/>
        <w:widowControl w:val="0"/>
        <w:tabs>
          <w:tab w:val="left" w:pos="567"/>
        </w:tabs>
        <w:spacing w:before="60" w:after="60" w:line="360" w:lineRule="auto"/>
        <w:jc w:val="both"/>
        <w:rPr>
          <w:rFonts w:ascii="Arial" w:hAnsi="Arial" w:cs="Arial"/>
        </w:rPr>
      </w:pPr>
      <w:r>
        <w:rPr>
          <w:rFonts w:ascii="Arial" w:hAnsi="Arial" w:cs="Arial"/>
        </w:rPr>
        <w:tab/>
      </w:r>
      <w:r>
        <w:rPr>
          <w:rFonts w:ascii="Arial" w:hAnsi="Arial" w:cs="Arial"/>
        </w:rPr>
        <w:tab/>
        <w:t xml:space="preserve">O </w:t>
      </w:r>
      <w:proofErr w:type="spellStart"/>
      <w:r>
        <w:rPr>
          <w:rFonts w:ascii="Arial" w:hAnsi="Arial" w:cs="Arial"/>
        </w:rPr>
        <w:t>lockdown</w:t>
      </w:r>
      <w:proofErr w:type="spellEnd"/>
      <w:r>
        <w:rPr>
          <w:rFonts w:ascii="Arial" w:hAnsi="Arial" w:cs="Arial"/>
        </w:rPr>
        <w:t xml:space="preserve"> promovido </w:t>
      </w:r>
      <w:r w:rsidR="00EB16A3">
        <w:rPr>
          <w:rFonts w:ascii="Arial" w:hAnsi="Arial" w:cs="Arial"/>
        </w:rPr>
        <w:t xml:space="preserve">na tentativa de desacelerar o ritmo de contágio </w:t>
      </w:r>
      <w:r w:rsidR="007A0B84">
        <w:rPr>
          <w:rFonts w:ascii="Arial" w:hAnsi="Arial" w:cs="Arial"/>
        </w:rPr>
        <w:t>do vírus entre a população resultou na paralisação de comércios, serviços, enfim de toda a atividade produtiva, o que justifica a manutenção dos cortes da Taxa Selic Meta, como um movimento para injetar ânimo no mercado através do crédito mais acess</w:t>
      </w:r>
      <w:r w:rsidR="0081286A">
        <w:rPr>
          <w:rFonts w:ascii="Arial" w:hAnsi="Arial" w:cs="Arial"/>
        </w:rPr>
        <w:t>ível e liquidez. Decisão tomada pelos Bancos Centrais de vários outros países e das principais economias do mundo.</w:t>
      </w:r>
    </w:p>
    <w:p w:rsidR="00965114" w:rsidRPr="00965114" w:rsidRDefault="00965114" w:rsidP="00965114">
      <w:pPr>
        <w:keepLines/>
        <w:widowControl w:val="0"/>
        <w:tabs>
          <w:tab w:val="left" w:pos="709"/>
        </w:tabs>
        <w:spacing w:before="60" w:after="60" w:line="360" w:lineRule="auto"/>
        <w:jc w:val="both"/>
        <w:rPr>
          <w:rFonts w:ascii="Arial" w:hAnsi="Arial" w:cs="Arial"/>
        </w:rPr>
      </w:pPr>
      <w:r>
        <w:rPr>
          <w:rFonts w:ascii="Arial" w:hAnsi="Arial" w:cs="Arial"/>
        </w:rPr>
        <w:tab/>
        <w:t xml:space="preserve">As expectativas de mercado apontam uma Taxa Selic Meta de </w:t>
      </w:r>
      <w:r w:rsidRPr="00965114">
        <w:rPr>
          <w:rFonts w:ascii="Arial" w:hAnsi="Arial" w:cs="Arial"/>
          <w:b/>
        </w:rPr>
        <w:t>2,75% a.a. para 2021</w:t>
      </w:r>
      <w:r>
        <w:rPr>
          <w:rFonts w:ascii="Arial" w:hAnsi="Arial" w:cs="Arial"/>
          <w:b/>
        </w:rPr>
        <w:t xml:space="preserve">, </w:t>
      </w:r>
      <w:r>
        <w:rPr>
          <w:rFonts w:ascii="Arial" w:hAnsi="Arial" w:cs="Arial"/>
        </w:rPr>
        <w:t>4,50% a.a. para 2022 e 6,0% a.a. ao final de 2023.</w:t>
      </w:r>
      <w:proofErr w:type="gramStart"/>
      <w:r w:rsidRPr="00965114">
        <w:rPr>
          <w:rFonts w:ascii="Arial" w:hAnsi="Arial" w:cs="Arial"/>
        </w:rPr>
        <w:tab/>
      </w:r>
      <w:proofErr w:type="gramEnd"/>
    </w:p>
    <w:p w:rsidR="00CF771B" w:rsidRPr="006B3807" w:rsidRDefault="00965114" w:rsidP="00345BE2">
      <w:pPr>
        <w:keepLines/>
        <w:widowControl w:val="0"/>
        <w:tabs>
          <w:tab w:val="left" w:pos="567"/>
        </w:tabs>
        <w:spacing w:before="60" w:after="60" w:line="360" w:lineRule="auto"/>
        <w:jc w:val="both"/>
        <w:rPr>
          <w:rFonts w:ascii="Arial" w:hAnsi="Arial" w:cs="Arial"/>
        </w:rPr>
      </w:pPr>
      <w:r>
        <w:rPr>
          <w:rFonts w:ascii="Arial" w:hAnsi="Arial" w:cs="Arial"/>
        </w:rPr>
        <w:lastRenderedPageBreak/>
        <w:tab/>
      </w:r>
      <w:r w:rsidR="00CF771B">
        <w:rPr>
          <w:rFonts w:ascii="Arial" w:hAnsi="Arial" w:cs="Arial"/>
        </w:rPr>
        <w:t>O gráfico a seguir representa a trajetória da Taxa SELIC Meta a partir do ano de 2013:</w:t>
      </w:r>
    </w:p>
    <w:p w:rsidR="00CF771B" w:rsidRDefault="00226222" w:rsidP="00345BE2">
      <w:pPr>
        <w:keepLines/>
        <w:widowControl w:val="0"/>
        <w:tabs>
          <w:tab w:val="left" w:pos="426"/>
        </w:tabs>
        <w:spacing w:before="60" w:after="60" w:line="360" w:lineRule="auto"/>
        <w:jc w:val="center"/>
        <w:rPr>
          <w:rFonts w:ascii="Arial" w:hAnsi="Arial" w:cs="Arial"/>
          <w:b/>
          <w:color w:val="000000"/>
          <w:szCs w:val="20"/>
        </w:rPr>
      </w:pPr>
      <w:r>
        <w:rPr>
          <w:noProof/>
          <w:lang w:eastAsia="pt-BR"/>
        </w:rPr>
        <w:drawing>
          <wp:anchor distT="0" distB="0" distL="114300" distR="114300" simplePos="0" relativeHeight="251654656" behindDoc="0" locked="0" layoutInCell="1" allowOverlap="1">
            <wp:simplePos x="0" y="0"/>
            <wp:positionH relativeFrom="margin">
              <wp:align>center</wp:align>
            </wp:positionH>
            <wp:positionV relativeFrom="paragraph">
              <wp:posOffset>309880</wp:posOffset>
            </wp:positionV>
            <wp:extent cx="6905625" cy="3267075"/>
            <wp:effectExtent l="0" t="0" r="0" b="0"/>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CF771B" w:rsidRPr="006B3807">
        <w:rPr>
          <w:rFonts w:ascii="Arial" w:hAnsi="Arial" w:cs="Arial"/>
          <w:b/>
          <w:color w:val="000000"/>
          <w:szCs w:val="20"/>
        </w:rPr>
        <w:t>GRÁFICO 01 – TAXA SELIC META</w:t>
      </w:r>
    </w:p>
    <w:p w:rsidR="00226222" w:rsidRDefault="00226222" w:rsidP="00345BE2">
      <w:pPr>
        <w:keepLines/>
        <w:widowControl w:val="0"/>
        <w:tabs>
          <w:tab w:val="left" w:pos="426"/>
        </w:tabs>
        <w:spacing w:before="60" w:after="60" w:line="360" w:lineRule="auto"/>
        <w:jc w:val="center"/>
        <w:rPr>
          <w:rFonts w:ascii="Arial" w:hAnsi="Arial" w:cs="Arial"/>
          <w:b/>
          <w:color w:val="000000"/>
          <w:szCs w:val="20"/>
        </w:rPr>
      </w:pPr>
    </w:p>
    <w:p w:rsidR="00542A9C" w:rsidRDefault="00542A9C" w:rsidP="00345BE2">
      <w:pPr>
        <w:keepLines/>
        <w:widowControl w:val="0"/>
        <w:tabs>
          <w:tab w:val="left" w:pos="426"/>
        </w:tabs>
        <w:spacing w:before="60" w:after="60" w:line="360" w:lineRule="auto"/>
        <w:jc w:val="center"/>
        <w:rPr>
          <w:rFonts w:ascii="Arial" w:hAnsi="Arial" w:cs="Arial"/>
          <w:b/>
          <w:color w:val="000000"/>
          <w:szCs w:val="20"/>
        </w:rPr>
      </w:pPr>
    </w:p>
    <w:p w:rsidR="00CF771B" w:rsidRPr="00AC1741" w:rsidRDefault="00CF771B" w:rsidP="00CF771B">
      <w:pPr>
        <w:rPr>
          <w:rFonts w:ascii="Arial" w:hAnsi="Arial" w:cs="Arial"/>
          <w:sz w:val="18"/>
          <w:szCs w:val="20"/>
        </w:rPr>
      </w:pPr>
      <w:r w:rsidRPr="00AC1741">
        <w:rPr>
          <w:rFonts w:ascii="Arial" w:hAnsi="Arial" w:cs="Arial"/>
          <w:sz w:val="18"/>
          <w:szCs w:val="44"/>
        </w:rPr>
        <w:t xml:space="preserve">FONTE: </w:t>
      </w:r>
      <w:r w:rsidRPr="00AC1741">
        <w:rPr>
          <w:rFonts w:ascii="Arial" w:hAnsi="Arial" w:cs="Arial"/>
          <w:sz w:val="18"/>
          <w:szCs w:val="20"/>
        </w:rPr>
        <w:t xml:space="preserve">Elaboração própria – dados Relatório FOCUS de Mercado BACEN, </w:t>
      </w:r>
      <w:r w:rsidR="00341F7A">
        <w:rPr>
          <w:rFonts w:ascii="Arial" w:hAnsi="Arial" w:cs="Arial"/>
          <w:sz w:val="18"/>
          <w:szCs w:val="20"/>
        </w:rPr>
        <w:t>06</w:t>
      </w:r>
      <w:r>
        <w:rPr>
          <w:rFonts w:ascii="Arial" w:hAnsi="Arial" w:cs="Arial"/>
          <w:sz w:val="18"/>
          <w:szCs w:val="20"/>
        </w:rPr>
        <w:t xml:space="preserve"> de </w:t>
      </w:r>
      <w:r w:rsidR="00341F7A">
        <w:rPr>
          <w:rFonts w:ascii="Arial" w:hAnsi="Arial" w:cs="Arial"/>
          <w:sz w:val="18"/>
          <w:szCs w:val="20"/>
        </w:rPr>
        <w:t>novembro</w:t>
      </w:r>
      <w:r w:rsidR="00542A9C">
        <w:rPr>
          <w:rFonts w:ascii="Arial" w:hAnsi="Arial" w:cs="Arial"/>
          <w:sz w:val="18"/>
          <w:szCs w:val="20"/>
        </w:rPr>
        <w:t xml:space="preserve"> de 2020</w:t>
      </w:r>
      <w:r>
        <w:rPr>
          <w:rFonts w:ascii="Arial" w:hAnsi="Arial" w:cs="Arial"/>
          <w:sz w:val="18"/>
          <w:szCs w:val="20"/>
        </w:rPr>
        <w:t>.</w:t>
      </w:r>
    </w:p>
    <w:p w:rsidR="00CF771B" w:rsidRPr="00B96AB6" w:rsidRDefault="00CF771B" w:rsidP="00CF771B">
      <w:pPr>
        <w:rPr>
          <w:rFonts w:ascii="Arial" w:hAnsi="Arial" w:cs="Arial"/>
          <w:sz w:val="20"/>
          <w:szCs w:val="44"/>
        </w:rPr>
      </w:pPr>
    </w:p>
    <w:p w:rsidR="00CF771B" w:rsidRPr="006B3807" w:rsidRDefault="00CF771B" w:rsidP="00CF771B">
      <w:pPr>
        <w:pStyle w:val="NormalWeb"/>
        <w:spacing w:line="360" w:lineRule="auto"/>
        <w:ind w:firstLine="709"/>
        <w:jc w:val="both"/>
        <w:outlineLvl w:val="1"/>
        <w:rPr>
          <w:rFonts w:ascii="Arial" w:hAnsi="Arial" w:cs="Arial"/>
          <w:b/>
        </w:rPr>
      </w:pPr>
      <w:bookmarkStart w:id="13" w:name="_Toc536189698"/>
      <w:bookmarkStart w:id="14" w:name="_Toc20133926"/>
      <w:r w:rsidRPr="006B3807">
        <w:rPr>
          <w:rFonts w:ascii="Arial" w:hAnsi="Arial" w:cs="Arial"/>
          <w:b/>
          <w:sz w:val="22"/>
        </w:rPr>
        <w:t>5.2 INFLAÇÃO</w:t>
      </w:r>
      <w:bookmarkEnd w:id="13"/>
      <w:bookmarkEnd w:id="14"/>
    </w:p>
    <w:p w:rsidR="00CF771B" w:rsidRDefault="00CF771B" w:rsidP="00CF771B">
      <w:pPr>
        <w:spacing w:line="360" w:lineRule="auto"/>
        <w:ind w:firstLine="709"/>
        <w:jc w:val="both"/>
        <w:rPr>
          <w:rFonts w:ascii="Arial" w:hAnsi="Arial" w:cs="Arial"/>
          <w:szCs w:val="24"/>
        </w:rPr>
      </w:pPr>
      <w:r w:rsidRPr="006B3807">
        <w:rPr>
          <w:rFonts w:ascii="Arial" w:hAnsi="Arial" w:cs="Arial"/>
          <w:szCs w:val="24"/>
        </w:rPr>
        <w:t>A inflação, medida oficialmente no Brasil pelo IPCA- Índice Nacional de Preços ao Consumidor Amplo, apurado e divulgado pelo IBGE- Instituo Brasile</w:t>
      </w:r>
      <w:r w:rsidR="00236251">
        <w:rPr>
          <w:rFonts w:ascii="Arial" w:hAnsi="Arial" w:cs="Arial"/>
          <w:szCs w:val="24"/>
        </w:rPr>
        <w:t xml:space="preserve">iro de Geografia e Estatística, se apresentava estável até o mês de fevereiro. E como todos os indicadores, foi afetado pela pandemia de Covid-19. </w:t>
      </w:r>
    </w:p>
    <w:p w:rsidR="00236251" w:rsidRDefault="00236251" w:rsidP="00CF771B">
      <w:pPr>
        <w:spacing w:line="360" w:lineRule="auto"/>
        <w:ind w:firstLine="709"/>
        <w:jc w:val="both"/>
        <w:rPr>
          <w:rFonts w:ascii="Arial" w:hAnsi="Arial" w:cs="Arial"/>
          <w:szCs w:val="24"/>
        </w:rPr>
      </w:pPr>
      <w:r>
        <w:rPr>
          <w:rFonts w:ascii="Arial" w:hAnsi="Arial" w:cs="Arial"/>
          <w:szCs w:val="24"/>
        </w:rPr>
        <w:t>Nos meses de abril e maio, tivemos deflação de -0,31% e -0,38%</w:t>
      </w:r>
      <w:r w:rsidR="00D24BE3">
        <w:rPr>
          <w:rFonts w:ascii="Arial" w:hAnsi="Arial" w:cs="Arial"/>
          <w:szCs w:val="24"/>
        </w:rPr>
        <w:t xml:space="preserve"> respectivamente, efeito imediato do </w:t>
      </w:r>
      <w:proofErr w:type="spellStart"/>
      <w:r w:rsidR="00D24BE3">
        <w:rPr>
          <w:rFonts w:ascii="Arial" w:hAnsi="Arial" w:cs="Arial"/>
          <w:szCs w:val="24"/>
        </w:rPr>
        <w:t>Coronavírus</w:t>
      </w:r>
      <w:proofErr w:type="spellEnd"/>
      <w:r w:rsidR="00D24BE3">
        <w:rPr>
          <w:rFonts w:ascii="Arial" w:hAnsi="Arial" w:cs="Arial"/>
          <w:szCs w:val="24"/>
        </w:rPr>
        <w:t xml:space="preserve">, resultante da paralisação das atividades produtivas e comércio, que “esfriou” a economia refletindo nas quedas de preços, até mesmo nos combustíveis em um primeiro momento. </w:t>
      </w:r>
    </w:p>
    <w:p w:rsidR="00D24BE3" w:rsidRPr="006B3807" w:rsidRDefault="00D24BE3" w:rsidP="00CF771B">
      <w:pPr>
        <w:spacing w:line="360" w:lineRule="auto"/>
        <w:ind w:firstLine="709"/>
        <w:jc w:val="both"/>
        <w:rPr>
          <w:rFonts w:ascii="Arial" w:hAnsi="Arial" w:cs="Arial"/>
          <w:szCs w:val="24"/>
        </w:rPr>
      </w:pPr>
      <w:r>
        <w:rPr>
          <w:rFonts w:ascii="Arial" w:hAnsi="Arial" w:cs="Arial"/>
          <w:szCs w:val="24"/>
        </w:rPr>
        <w:t xml:space="preserve">Com a retomada das atividades e a recuperação gradual da confiança e expectativa positiva da população, o nível de preços voltou aos patamares </w:t>
      </w:r>
      <w:proofErr w:type="spellStart"/>
      <w:r>
        <w:rPr>
          <w:rFonts w:ascii="Arial" w:hAnsi="Arial" w:cs="Arial"/>
          <w:szCs w:val="24"/>
        </w:rPr>
        <w:t>pré</w:t>
      </w:r>
      <w:proofErr w:type="spellEnd"/>
      <w:r>
        <w:rPr>
          <w:rFonts w:ascii="Arial" w:hAnsi="Arial" w:cs="Arial"/>
          <w:szCs w:val="24"/>
        </w:rPr>
        <w:t xml:space="preserve">- </w:t>
      </w:r>
      <w:proofErr w:type="spellStart"/>
      <w:r>
        <w:rPr>
          <w:rFonts w:ascii="Arial" w:hAnsi="Arial" w:cs="Arial"/>
          <w:szCs w:val="24"/>
        </w:rPr>
        <w:t>Covid</w:t>
      </w:r>
      <w:proofErr w:type="spellEnd"/>
      <w:r>
        <w:rPr>
          <w:rFonts w:ascii="Arial" w:hAnsi="Arial" w:cs="Arial"/>
          <w:szCs w:val="24"/>
        </w:rPr>
        <w:t xml:space="preserve"> 19.</w:t>
      </w:r>
    </w:p>
    <w:p w:rsidR="00F440A8" w:rsidRDefault="00F440A8" w:rsidP="00CF771B">
      <w:pPr>
        <w:spacing w:line="360" w:lineRule="auto"/>
        <w:ind w:firstLine="709"/>
        <w:jc w:val="both"/>
        <w:rPr>
          <w:rFonts w:ascii="Arial" w:hAnsi="Arial" w:cs="Arial"/>
          <w:szCs w:val="24"/>
        </w:rPr>
      </w:pPr>
      <w:r>
        <w:rPr>
          <w:rFonts w:ascii="Arial" w:hAnsi="Arial" w:cs="Arial"/>
          <w:szCs w:val="24"/>
        </w:rPr>
        <w:lastRenderedPageBreak/>
        <w:t xml:space="preserve">No último resultado divulgado, setembro, a inflação acelerou 0,64% puxada pela alta dos </w:t>
      </w:r>
      <w:r w:rsidR="00461B01">
        <w:rPr>
          <w:rFonts w:ascii="Arial" w:hAnsi="Arial" w:cs="Arial"/>
          <w:szCs w:val="24"/>
        </w:rPr>
        <w:t xml:space="preserve">combustíveis e alimentos, com forte influência do câmbio. As exportações são mais estimuladas quando o dólar está em patamar mais alto, reduzindo o abastecimento interno e elevando os preços. É o que aconteceu de forma clara com arroz e carne, por exemplo. </w:t>
      </w:r>
      <w:r w:rsidR="00997D00">
        <w:rPr>
          <w:rFonts w:ascii="Arial" w:hAnsi="Arial" w:cs="Arial"/>
          <w:szCs w:val="24"/>
        </w:rPr>
        <w:t xml:space="preserve"> No a</w:t>
      </w:r>
      <w:r w:rsidR="008F7C23">
        <w:rPr>
          <w:rFonts w:ascii="Arial" w:hAnsi="Arial" w:cs="Arial"/>
          <w:szCs w:val="24"/>
        </w:rPr>
        <w:t>no o índice acumula alta de 2,20</w:t>
      </w:r>
      <w:r w:rsidR="00997D00">
        <w:rPr>
          <w:rFonts w:ascii="Arial" w:hAnsi="Arial" w:cs="Arial"/>
          <w:szCs w:val="24"/>
        </w:rPr>
        <w:t xml:space="preserve">%, abaixo do mesmo período de </w:t>
      </w:r>
      <w:r w:rsidR="008F7C23">
        <w:rPr>
          <w:rFonts w:ascii="Arial" w:hAnsi="Arial" w:cs="Arial"/>
          <w:szCs w:val="24"/>
        </w:rPr>
        <w:t>2019 (2,60</w:t>
      </w:r>
      <w:r w:rsidR="00997D00" w:rsidRPr="004E445F">
        <w:rPr>
          <w:rFonts w:ascii="Arial" w:hAnsi="Arial" w:cs="Arial"/>
          <w:szCs w:val="24"/>
        </w:rPr>
        <w:t>%).</w:t>
      </w:r>
    </w:p>
    <w:p w:rsidR="002D64CE" w:rsidRPr="002D64CE" w:rsidRDefault="002D64CE" w:rsidP="00CF771B">
      <w:pPr>
        <w:spacing w:line="360" w:lineRule="auto"/>
        <w:ind w:firstLine="709"/>
        <w:jc w:val="both"/>
        <w:rPr>
          <w:rFonts w:ascii="Arial" w:hAnsi="Arial" w:cs="Arial"/>
          <w:szCs w:val="24"/>
        </w:rPr>
      </w:pPr>
      <w:r>
        <w:rPr>
          <w:rFonts w:ascii="Arial" w:hAnsi="Arial" w:cs="Arial"/>
          <w:szCs w:val="24"/>
        </w:rPr>
        <w:t xml:space="preserve">A expectativa é de que a inflação encerre </w:t>
      </w:r>
      <w:r w:rsidR="008F7C23">
        <w:rPr>
          <w:rFonts w:ascii="Arial" w:hAnsi="Arial" w:cs="Arial"/>
          <w:b/>
          <w:szCs w:val="24"/>
        </w:rPr>
        <w:t>2020 em 3,</w:t>
      </w:r>
      <w:r w:rsidRPr="002D64CE">
        <w:rPr>
          <w:rFonts w:ascii="Arial" w:hAnsi="Arial" w:cs="Arial"/>
          <w:b/>
          <w:szCs w:val="24"/>
        </w:rPr>
        <w:t>2</w:t>
      </w:r>
      <w:r w:rsidR="008F7C23">
        <w:rPr>
          <w:rFonts w:ascii="Arial" w:hAnsi="Arial" w:cs="Arial"/>
          <w:b/>
          <w:szCs w:val="24"/>
        </w:rPr>
        <w:t>0</w:t>
      </w:r>
      <w:r w:rsidRPr="002D64CE">
        <w:rPr>
          <w:rFonts w:ascii="Arial" w:hAnsi="Arial" w:cs="Arial"/>
          <w:b/>
          <w:szCs w:val="24"/>
        </w:rPr>
        <w:t>%</w:t>
      </w:r>
      <w:r>
        <w:rPr>
          <w:rFonts w:ascii="Arial" w:hAnsi="Arial" w:cs="Arial"/>
          <w:b/>
          <w:szCs w:val="24"/>
        </w:rPr>
        <w:t xml:space="preserve">. </w:t>
      </w:r>
      <w:r>
        <w:rPr>
          <w:rFonts w:ascii="Arial" w:hAnsi="Arial" w:cs="Arial"/>
          <w:szCs w:val="24"/>
        </w:rPr>
        <w:t xml:space="preserve">Para 2021 a expectativa é de </w:t>
      </w:r>
      <w:r w:rsidR="008F7C23">
        <w:rPr>
          <w:rFonts w:ascii="Arial" w:hAnsi="Arial" w:cs="Arial"/>
          <w:szCs w:val="24"/>
        </w:rPr>
        <w:t>3,17</w:t>
      </w:r>
      <w:r>
        <w:rPr>
          <w:rFonts w:ascii="Arial" w:hAnsi="Arial" w:cs="Arial"/>
          <w:szCs w:val="24"/>
        </w:rPr>
        <w:t>%. Em 2022 e 2023 3,50% e 3,25% respectivamente.</w:t>
      </w:r>
      <w:r w:rsidR="00CB53DC">
        <w:rPr>
          <w:rFonts w:ascii="Arial" w:hAnsi="Arial" w:cs="Arial"/>
          <w:szCs w:val="24"/>
        </w:rPr>
        <w:t xml:space="preserve"> Tais níveis dão um indicativo de que a Selic Meta permanecerá em níveis baixos neste horizonte de planejamento, dado que ela é utilizada como instrumento de controle dos níveis de preços.</w:t>
      </w:r>
    </w:p>
    <w:p w:rsidR="004E445F" w:rsidRDefault="004E445F" w:rsidP="00CF771B">
      <w:pPr>
        <w:spacing w:line="360" w:lineRule="auto"/>
        <w:ind w:left="1415" w:firstLine="709"/>
        <w:jc w:val="both"/>
        <w:rPr>
          <w:rFonts w:ascii="Arial" w:hAnsi="Arial" w:cs="Arial"/>
          <w:szCs w:val="24"/>
        </w:rPr>
      </w:pPr>
    </w:p>
    <w:p w:rsidR="00CF771B" w:rsidRDefault="00812251" w:rsidP="00CF771B">
      <w:pPr>
        <w:spacing w:line="360" w:lineRule="auto"/>
        <w:ind w:left="1415" w:firstLine="709"/>
        <w:jc w:val="both"/>
        <w:rPr>
          <w:rFonts w:ascii="Arial" w:hAnsi="Arial" w:cs="Arial"/>
          <w:b/>
          <w:szCs w:val="24"/>
        </w:rPr>
      </w:pPr>
      <w:r>
        <w:rPr>
          <w:noProof/>
          <w:lang w:eastAsia="pt-BR"/>
        </w:rPr>
        <w:drawing>
          <wp:anchor distT="0" distB="0" distL="114300" distR="114300" simplePos="0" relativeHeight="251662848" behindDoc="0" locked="0" layoutInCell="1" allowOverlap="1">
            <wp:simplePos x="0" y="0"/>
            <wp:positionH relativeFrom="margin">
              <wp:align>center</wp:align>
            </wp:positionH>
            <wp:positionV relativeFrom="margin">
              <wp:posOffset>3544570</wp:posOffset>
            </wp:positionV>
            <wp:extent cx="7191375" cy="3486150"/>
            <wp:effectExtent l="0" t="0" r="0" b="0"/>
            <wp:wrapSquare wrapText="bothSides"/>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CF771B">
        <w:rPr>
          <w:rFonts w:ascii="Arial" w:hAnsi="Arial" w:cs="Arial"/>
          <w:szCs w:val="24"/>
        </w:rPr>
        <w:t xml:space="preserve"> </w:t>
      </w:r>
      <w:r w:rsidR="00997D00">
        <w:rPr>
          <w:rFonts w:ascii="Arial" w:hAnsi="Arial" w:cs="Arial"/>
          <w:b/>
          <w:szCs w:val="24"/>
        </w:rPr>
        <w:t>GRÁFICO 02 – IPCA 2020 x 2019</w:t>
      </w:r>
    </w:p>
    <w:p w:rsidR="004E445F" w:rsidRDefault="004E445F" w:rsidP="004E445F">
      <w:pPr>
        <w:spacing w:line="360" w:lineRule="auto"/>
        <w:ind w:left="1415" w:firstLine="709"/>
        <w:jc w:val="both"/>
        <w:rPr>
          <w:rFonts w:ascii="Arial" w:hAnsi="Arial" w:cs="Arial"/>
          <w:sz w:val="18"/>
          <w:szCs w:val="18"/>
        </w:rPr>
      </w:pPr>
    </w:p>
    <w:p w:rsidR="00CF771B" w:rsidRDefault="00CF771B" w:rsidP="00CF771B">
      <w:pPr>
        <w:spacing w:line="360" w:lineRule="auto"/>
        <w:rPr>
          <w:rFonts w:ascii="Arial" w:hAnsi="Arial" w:cs="Arial"/>
          <w:sz w:val="18"/>
          <w:szCs w:val="18"/>
        </w:rPr>
      </w:pPr>
      <w:r w:rsidRPr="00AC1741">
        <w:rPr>
          <w:rFonts w:ascii="Arial" w:hAnsi="Arial" w:cs="Arial"/>
          <w:sz w:val="18"/>
          <w:szCs w:val="18"/>
        </w:rPr>
        <w:t xml:space="preserve">FONTE: </w:t>
      </w:r>
      <w:r w:rsidR="004E445F">
        <w:rPr>
          <w:rFonts w:ascii="Arial" w:hAnsi="Arial" w:cs="Arial"/>
          <w:sz w:val="18"/>
          <w:szCs w:val="18"/>
        </w:rPr>
        <w:t xml:space="preserve">Elaboração própria – DADOS IBGE </w:t>
      </w:r>
      <w:r w:rsidRPr="00AC1741">
        <w:rPr>
          <w:rFonts w:ascii="Arial" w:hAnsi="Arial" w:cs="Arial"/>
          <w:sz w:val="18"/>
          <w:szCs w:val="18"/>
        </w:rPr>
        <w:t>e Relatório FOCUS de Mercado BACEN</w:t>
      </w:r>
      <w:r>
        <w:rPr>
          <w:rFonts w:ascii="Arial" w:hAnsi="Arial" w:cs="Arial"/>
          <w:sz w:val="18"/>
          <w:szCs w:val="18"/>
        </w:rPr>
        <w:t xml:space="preserve"> de </w:t>
      </w:r>
      <w:r w:rsidR="00A0629C">
        <w:rPr>
          <w:rFonts w:ascii="Arial" w:hAnsi="Arial" w:cs="Arial"/>
          <w:sz w:val="18"/>
          <w:szCs w:val="20"/>
        </w:rPr>
        <w:t>06 de novembro de 2020</w:t>
      </w:r>
      <w:r w:rsidRPr="00AC1741">
        <w:rPr>
          <w:rFonts w:ascii="Arial" w:hAnsi="Arial" w:cs="Arial"/>
          <w:sz w:val="18"/>
          <w:szCs w:val="18"/>
        </w:rPr>
        <w:t>.</w:t>
      </w:r>
      <w:r>
        <w:rPr>
          <w:rFonts w:ascii="Arial" w:hAnsi="Arial" w:cs="Arial"/>
          <w:sz w:val="18"/>
          <w:szCs w:val="18"/>
        </w:rPr>
        <w:t xml:space="preserve"> (YTD – </w:t>
      </w:r>
      <w:proofErr w:type="spellStart"/>
      <w:r w:rsidRPr="00821388">
        <w:rPr>
          <w:rFonts w:ascii="Arial" w:hAnsi="Arial" w:cs="Arial"/>
          <w:i/>
          <w:sz w:val="18"/>
          <w:szCs w:val="18"/>
        </w:rPr>
        <w:t>Year</w:t>
      </w:r>
      <w:proofErr w:type="spellEnd"/>
      <w:r w:rsidRPr="00821388">
        <w:rPr>
          <w:rFonts w:ascii="Arial" w:hAnsi="Arial" w:cs="Arial"/>
          <w:i/>
          <w:sz w:val="18"/>
          <w:szCs w:val="18"/>
        </w:rPr>
        <w:t xml:space="preserve"> </w:t>
      </w:r>
      <w:proofErr w:type="spellStart"/>
      <w:r w:rsidRPr="00821388">
        <w:rPr>
          <w:rFonts w:ascii="Arial" w:hAnsi="Arial" w:cs="Arial"/>
          <w:i/>
          <w:sz w:val="18"/>
          <w:szCs w:val="18"/>
        </w:rPr>
        <w:t>to</w:t>
      </w:r>
      <w:proofErr w:type="spellEnd"/>
      <w:r w:rsidRPr="00821388">
        <w:rPr>
          <w:rFonts w:ascii="Arial" w:hAnsi="Arial" w:cs="Arial"/>
          <w:i/>
          <w:sz w:val="18"/>
          <w:szCs w:val="18"/>
        </w:rPr>
        <w:t xml:space="preserve"> Date</w:t>
      </w:r>
      <w:r>
        <w:rPr>
          <w:rFonts w:ascii="Arial" w:hAnsi="Arial" w:cs="Arial"/>
          <w:i/>
          <w:sz w:val="18"/>
          <w:szCs w:val="18"/>
        </w:rPr>
        <w:t xml:space="preserve">- </w:t>
      </w:r>
      <w:r>
        <w:rPr>
          <w:rFonts w:ascii="Arial" w:hAnsi="Arial" w:cs="Arial"/>
          <w:sz w:val="18"/>
          <w:szCs w:val="18"/>
        </w:rPr>
        <w:t>No acumulado do ano).</w:t>
      </w:r>
    </w:p>
    <w:p w:rsidR="00CF771B" w:rsidRDefault="00CF771B" w:rsidP="00CF771B">
      <w:pPr>
        <w:spacing w:line="360" w:lineRule="auto"/>
        <w:rPr>
          <w:rFonts w:ascii="Arial" w:hAnsi="Arial" w:cs="Arial"/>
          <w:sz w:val="18"/>
          <w:szCs w:val="18"/>
        </w:rPr>
      </w:pPr>
    </w:p>
    <w:p w:rsidR="00CF771B" w:rsidRDefault="00CF771B" w:rsidP="00CB53DC">
      <w:pPr>
        <w:spacing w:line="360" w:lineRule="auto"/>
        <w:jc w:val="both"/>
        <w:rPr>
          <w:rFonts w:ascii="Arial" w:hAnsi="Arial" w:cs="Arial"/>
          <w:szCs w:val="18"/>
        </w:rPr>
      </w:pPr>
      <w:r>
        <w:rPr>
          <w:rFonts w:ascii="Arial" w:hAnsi="Arial" w:cs="Arial"/>
          <w:szCs w:val="18"/>
        </w:rPr>
        <w:tab/>
      </w:r>
    </w:p>
    <w:p w:rsidR="00CF771B" w:rsidRPr="00AC1741" w:rsidRDefault="00CF771B" w:rsidP="00CF771B">
      <w:pPr>
        <w:pStyle w:val="NormalWeb"/>
        <w:spacing w:line="360" w:lineRule="auto"/>
        <w:ind w:firstLine="709"/>
        <w:jc w:val="both"/>
        <w:outlineLvl w:val="1"/>
        <w:rPr>
          <w:rFonts w:ascii="Arial" w:hAnsi="Arial" w:cs="Arial"/>
          <w:b/>
          <w:sz w:val="22"/>
        </w:rPr>
      </w:pPr>
      <w:bookmarkStart w:id="15" w:name="_Toc536189699"/>
      <w:bookmarkStart w:id="16" w:name="_Toc20133927"/>
      <w:r w:rsidRPr="00AC1741">
        <w:rPr>
          <w:rFonts w:ascii="Arial" w:hAnsi="Arial" w:cs="Arial"/>
          <w:b/>
          <w:sz w:val="22"/>
        </w:rPr>
        <w:lastRenderedPageBreak/>
        <w:t>5.3. PRODUTO INTERNO BRUTO - PIB</w:t>
      </w:r>
      <w:bookmarkEnd w:id="15"/>
      <w:bookmarkEnd w:id="16"/>
    </w:p>
    <w:p w:rsidR="00CF771B" w:rsidRDefault="007D4724" w:rsidP="009B6027">
      <w:pPr>
        <w:pStyle w:val="NormalWeb"/>
        <w:spacing w:line="360" w:lineRule="auto"/>
        <w:ind w:firstLine="709"/>
        <w:jc w:val="both"/>
        <w:rPr>
          <w:rFonts w:ascii="Arial" w:hAnsi="Arial" w:cs="Arial"/>
          <w:sz w:val="22"/>
        </w:rPr>
      </w:pPr>
      <w:r>
        <w:rPr>
          <w:rFonts w:ascii="Arial" w:hAnsi="Arial" w:cs="Arial"/>
          <w:sz w:val="22"/>
        </w:rPr>
        <w:t xml:space="preserve">Observado o período de baixo crescimento da economia brasileira em 2019, havia expectativas de retomada para o ano de 2020, baseadas em um ambiente de taxa Selic meta em 2,0% a.a. e inflação estabilizada, como vimos anteriormente, permitindo estímulos e criando oportunidades para o crescimento. </w:t>
      </w:r>
    </w:p>
    <w:p w:rsidR="007D4724" w:rsidRDefault="007D4724" w:rsidP="009B6027">
      <w:pPr>
        <w:pStyle w:val="NormalWeb"/>
        <w:spacing w:line="360" w:lineRule="auto"/>
        <w:ind w:firstLine="709"/>
        <w:jc w:val="both"/>
        <w:rPr>
          <w:rFonts w:ascii="Arial" w:hAnsi="Arial" w:cs="Arial"/>
          <w:sz w:val="22"/>
        </w:rPr>
      </w:pPr>
      <w:r>
        <w:rPr>
          <w:rFonts w:ascii="Arial" w:hAnsi="Arial" w:cs="Arial"/>
          <w:sz w:val="22"/>
        </w:rPr>
        <w:t>Porém a pandemia do Covid-19 inter</w:t>
      </w:r>
      <w:r w:rsidR="001F24E6">
        <w:rPr>
          <w:rFonts w:ascii="Arial" w:hAnsi="Arial" w:cs="Arial"/>
          <w:sz w:val="22"/>
        </w:rPr>
        <w:t>rompeu as chances dos planos seguirem rumo à direção desejada.</w:t>
      </w:r>
    </w:p>
    <w:p w:rsidR="001F24E6" w:rsidRDefault="001F24E6" w:rsidP="009B6027">
      <w:pPr>
        <w:pStyle w:val="NormalWeb"/>
        <w:spacing w:line="360" w:lineRule="auto"/>
        <w:ind w:firstLine="709"/>
        <w:jc w:val="both"/>
        <w:rPr>
          <w:rFonts w:ascii="Arial" w:hAnsi="Arial" w:cs="Arial"/>
          <w:sz w:val="22"/>
        </w:rPr>
      </w:pPr>
    </w:p>
    <w:p w:rsidR="00CF771B" w:rsidRDefault="00540898" w:rsidP="00CF771B">
      <w:pPr>
        <w:pStyle w:val="NormalWeb"/>
        <w:spacing w:line="360" w:lineRule="auto"/>
        <w:jc w:val="center"/>
        <w:rPr>
          <w:rFonts w:ascii="Arial Narrow" w:hAnsi="Arial Narrow" w:cs="Arial"/>
          <w:b/>
          <w:sz w:val="22"/>
        </w:rPr>
      </w:pPr>
      <w:r>
        <w:rPr>
          <w:noProof/>
        </w:rPr>
        <w:drawing>
          <wp:anchor distT="0" distB="0" distL="114300" distR="114300" simplePos="0" relativeHeight="251664896" behindDoc="0" locked="0" layoutInCell="1" allowOverlap="1">
            <wp:simplePos x="0" y="0"/>
            <wp:positionH relativeFrom="margin">
              <wp:align>center</wp:align>
            </wp:positionH>
            <wp:positionV relativeFrom="margin">
              <wp:posOffset>3154045</wp:posOffset>
            </wp:positionV>
            <wp:extent cx="6343650" cy="3209925"/>
            <wp:effectExtent l="0" t="0" r="0" b="0"/>
            <wp:wrapSquare wrapText="bothSides"/>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CF771B">
        <w:rPr>
          <w:rFonts w:ascii="Arial Narrow" w:hAnsi="Arial Narrow" w:cs="Arial"/>
          <w:b/>
          <w:sz w:val="22"/>
        </w:rPr>
        <w:t>GRÁFICO 03 – PIB RESULTADOS E EXPECTATIVAS</w:t>
      </w:r>
    </w:p>
    <w:p w:rsidR="001E5BA6" w:rsidRDefault="001E5BA6" w:rsidP="00CF771B">
      <w:pPr>
        <w:pStyle w:val="NormalWeb"/>
        <w:spacing w:line="360" w:lineRule="auto"/>
        <w:jc w:val="center"/>
        <w:rPr>
          <w:rFonts w:ascii="Arial" w:hAnsi="Arial" w:cs="Arial"/>
          <w:sz w:val="18"/>
        </w:rPr>
      </w:pPr>
    </w:p>
    <w:p w:rsidR="00CF771B" w:rsidRPr="00CF771B" w:rsidRDefault="00CF771B" w:rsidP="001E5BA6">
      <w:pPr>
        <w:pStyle w:val="NormalWeb"/>
        <w:spacing w:line="360" w:lineRule="auto"/>
        <w:jc w:val="both"/>
        <w:rPr>
          <w:rFonts w:ascii="Arial Narrow" w:hAnsi="Arial Narrow" w:cs="Arial"/>
          <w:b/>
          <w:sz w:val="22"/>
        </w:rPr>
      </w:pPr>
      <w:r w:rsidRPr="0036724A">
        <w:rPr>
          <w:rFonts w:ascii="Arial" w:hAnsi="Arial" w:cs="Arial"/>
          <w:sz w:val="18"/>
        </w:rPr>
        <w:t>FONTE</w:t>
      </w:r>
      <w:r w:rsidRPr="0036724A">
        <w:rPr>
          <w:rFonts w:ascii="Arial" w:hAnsi="Arial" w:cs="Arial"/>
          <w:b/>
          <w:sz w:val="18"/>
        </w:rPr>
        <w:t xml:space="preserve">: </w:t>
      </w:r>
      <w:r w:rsidRPr="0036724A">
        <w:rPr>
          <w:rFonts w:ascii="Arial" w:hAnsi="Arial" w:cs="Arial"/>
          <w:sz w:val="18"/>
        </w:rPr>
        <w:t xml:space="preserve">Elaboração própria – dados IBGE e Relatório FOCUS de Mercado BACEN, de </w:t>
      </w:r>
      <w:r w:rsidR="00E45A1F">
        <w:rPr>
          <w:rFonts w:ascii="Arial" w:hAnsi="Arial" w:cs="Arial"/>
          <w:sz w:val="18"/>
          <w:szCs w:val="20"/>
        </w:rPr>
        <w:t>06 de novembro</w:t>
      </w:r>
      <w:r w:rsidR="001E5BA6">
        <w:rPr>
          <w:rFonts w:ascii="Arial" w:hAnsi="Arial" w:cs="Arial"/>
          <w:sz w:val="18"/>
          <w:szCs w:val="20"/>
        </w:rPr>
        <w:t xml:space="preserve"> de 2020.</w:t>
      </w:r>
    </w:p>
    <w:p w:rsidR="00CF771B" w:rsidRDefault="00803EA6" w:rsidP="00CF771B">
      <w:pPr>
        <w:pStyle w:val="NormalWeb"/>
        <w:spacing w:line="360" w:lineRule="auto"/>
        <w:ind w:firstLine="851"/>
        <w:jc w:val="both"/>
        <w:rPr>
          <w:rFonts w:ascii="Arial" w:hAnsi="Arial" w:cs="Arial"/>
          <w:sz w:val="22"/>
          <w:szCs w:val="22"/>
        </w:rPr>
      </w:pPr>
      <w:r>
        <w:rPr>
          <w:rFonts w:ascii="Arial" w:hAnsi="Arial" w:cs="Arial"/>
          <w:sz w:val="22"/>
          <w:szCs w:val="22"/>
        </w:rPr>
        <w:t xml:space="preserve">A queda expressiva se deve à paralisação das atividades </w:t>
      </w:r>
      <w:r w:rsidR="000E2E87">
        <w:rPr>
          <w:rFonts w:ascii="Arial" w:hAnsi="Arial" w:cs="Arial"/>
          <w:sz w:val="22"/>
          <w:szCs w:val="22"/>
        </w:rPr>
        <w:t xml:space="preserve">produtivas do país, resultante do </w:t>
      </w:r>
      <w:proofErr w:type="spellStart"/>
      <w:r w:rsidR="000E2E87">
        <w:rPr>
          <w:rFonts w:ascii="Arial" w:hAnsi="Arial" w:cs="Arial"/>
          <w:sz w:val="22"/>
          <w:szCs w:val="22"/>
        </w:rPr>
        <w:t>lockdown</w:t>
      </w:r>
      <w:proofErr w:type="spellEnd"/>
      <w:r w:rsidR="000E2E87">
        <w:rPr>
          <w:rFonts w:ascii="Arial" w:hAnsi="Arial" w:cs="Arial"/>
          <w:sz w:val="22"/>
          <w:szCs w:val="22"/>
        </w:rPr>
        <w:t xml:space="preserve">. </w:t>
      </w:r>
    </w:p>
    <w:p w:rsidR="00C914DD" w:rsidRDefault="001974BA" w:rsidP="00CF771B">
      <w:pPr>
        <w:pStyle w:val="NormalWeb"/>
        <w:tabs>
          <w:tab w:val="left" w:pos="0"/>
        </w:tabs>
        <w:spacing w:line="360" w:lineRule="auto"/>
        <w:ind w:firstLine="709"/>
        <w:jc w:val="both"/>
        <w:outlineLvl w:val="1"/>
        <w:rPr>
          <w:rFonts w:ascii="Arial" w:hAnsi="Arial" w:cs="Arial"/>
          <w:sz w:val="22"/>
        </w:rPr>
      </w:pPr>
      <w:r>
        <w:rPr>
          <w:rFonts w:ascii="Arial" w:hAnsi="Arial" w:cs="Arial"/>
          <w:sz w:val="22"/>
        </w:rPr>
        <w:t xml:space="preserve">Para 2020 a projeção é de </w:t>
      </w:r>
      <w:r w:rsidR="00FE4328">
        <w:rPr>
          <w:rFonts w:ascii="Arial" w:hAnsi="Arial" w:cs="Arial"/>
          <w:sz w:val="22"/>
        </w:rPr>
        <w:t xml:space="preserve">retração de </w:t>
      </w:r>
      <w:r>
        <w:rPr>
          <w:rFonts w:ascii="Arial" w:hAnsi="Arial" w:cs="Arial"/>
          <w:sz w:val="22"/>
        </w:rPr>
        <w:t xml:space="preserve">-4,81% e em </w:t>
      </w:r>
      <w:proofErr w:type="gramStart"/>
      <w:r w:rsidRPr="00FE4328">
        <w:rPr>
          <w:rFonts w:ascii="Arial" w:hAnsi="Arial" w:cs="Arial"/>
          <w:b/>
          <w:sz w:val="22"/>
        </w:rPr>
        <w:t>2021 crescimento</w:t>
      </w:r>
      <w:proofErr w:type="gramEnd"/>
      <w:r w:rsidRPr="00FE4328">
        <w:rPr>
          <w:rFonts w:ascii="Arial" w:hAnsi="Arial" w:cs="Arial"/>
          <w:b/>
          <w:sz w:val="22"/>
        </w:rPr>
        <w:t xml:space="preserve"> de 3,34%,</w:t>
      </w:r>
      <w:r>
        <w:rPr>
          <w:rFonts w:ascii="Arial" w:hAnsi="Arial" w:cs="Arial"/>
          <w:sz w:val="22"/>
        </w:rPr>
        <w:t xml:space="preserve"> mostrando que o mercado aguarda um cenário de recuperação do país. As </w:t>
      </w:r>
      <w:r w:rsidR="00FE4328">
        <w:rPr>
          <w:rFonts w:ascii="Arial" w:hAnsi="Arial" w:cs="Arial"/>
          <w:sz w:val="22"/>
        </w:rPr>
        <w:t>expectativas para a retomada podem se confirmar</w:t>
      </w:r>
      <w:r w:rsidR="00C65F7F">
        <w:rPr>
          <w:rFonts w:ascii="Arial" w:hAnsi="Arial" w:cs="Arial"/>
          <w:sz w:val="22"/>
        </w:rPr>
        <w:t xml:space="preserve">, caso se observe avanços </w:t>
      </w:r>
      <w:r w:rsidR="00C65F7F">
        <w:rPr>
          <w:rFonts w:ascii="Arial" w:hAnsi="Arial" w:cs="Arial"/>
          <w:sz w:val="22"/>
        </w:rPr>
        <w:lastRenderedPageBreak/>
        <w:t>concretos quanto à vacina para a Covid-19 e internamente se cumpra as agendas de reformas necessárias.</w:t>
      </w:r>
    </w:p>
    <w:p w:rsidR="00CF771B" w:rsidRPr="00CF771B" w:rsidRDefault="00C914DD" w:rsidP="00CF771B">
      <w:pPr>
        <w:pStyle w:val="NormalWeb"/>
        <w:tabs>
          <w:tab w:val="left" w:pos="0"/>
        </w:tabs>
        <w:spacing w:line="360" w:lineRule="auto"/>
        <w:ind w:firstLine="709"/>
        <w:jc w:val="both"/>
        <w:outlineLvl w:val="1"/>
        <w:rPr>
          <w:rFonts w:ascii="Arial" w:hAnsi="Arial" w:cs="Arial"/>
          <w:sz w:val="22"/>
        </w:rPr>
      </w:pPr>
      <w:r>
        <w:rPr>
          <w:rFonts w:ascii="Arial" w:hAnsi="Arial" w:cs="Arial"/>
          <w:sz w:val="22"/>
        </w:rPr>
        <w:t xml:space="preserve">Em um cenário com taxas de juros menos atrativas para a renda fixa, dado o nível de Taxa Selic Meta e expectativa de crescimento, torna-se essencial </w:t>
      </w:r>
      <w:proofErr w:type="gramStart"/>
      <w:r>
        <w:rPr>
          <w:rFonts w:ascii="Arial" w:hAnsi="Arial" w:cs="Arial"/>
          <w:sz w:val="22"/>
        </w:rPr>
        <w:t>a</w:t>
      </w:r>
      <w:proofErr w:type="gramEnd"/>
      <w:r>
        <w:rPr>
          <w:rFonts w:ascii="Arial" w:hAnsi="Arial" w:cs="Arial"/>
          <w:sz w:val="22"/>
        </w:rPr>
        <w:t xml:space="preserve"> exposição em renda variável</w:t>
      </w:r>
      <w:r w:rsidR="00113FC8">
        <w:rPr>
          <w:rFonts w:ascii="Arial" w:hAnsi="Arial" w:cs="Arial"/>
          <w:sz w:val="22"/>
        </w:rPr>
        <w:t xml:space="preserve"> a fim de alcançar rentabilidades mais satisfatórias, contribuindo para o alcance da meta atuarial e crescimento do patrimônio.</w:t>
      </w:r>
    </w:p>
    <w:p w:rsidR="00CF771B" w:rsidRPr="006C70AF" w:rsidRDefault="00CF771B" w:rsidP="00CF771B">
      <w:pPr>
        <w:pStyle w:val="Ttulo1"/>
        <w:spacing w:line="360" w:lineRule="auto"/>
        <w:jc w:val="both"/>
        <w:rPr>
          <w:rFonts w:ascii="Arial" w:hAnsi="Arial" w:cs="Arial"/>
          <w:b w:val="0"/>
          <w:color w:val="000000" w:themeColor="text1"/>
          <w:sz w:val="22"/>
          <w:szCs w:val="24"/>
        </w:rPr>
      </w:pPr>
      <w:bookmarkStart w:id="17" w:name="_Toc536189701"/>
      <w:bookmarkStart w:id="18" w:name="_Toc20133928"/>
      <w:proofErr w:type="gramStart"/>
      <w:r w:rsidRPr="006C70AF">
        <w:rPr>
          <w:rFonts w:ascii="Arial" w:hAnsi="Arial" w:cs="Arial"/>
          <w:color w:val="000000" w:themeColor="text1"/>
          <w:sz w:val="22"/>
          <w:szCs w:val="24"/>
        </w:rPr>
        <w:t>6</w:t>
      </w:r>
      <w:proofErr w:type="gramEnd"/>
      <w:r w:rsidRPr="006C70AF">
        <w:rPr>
          <w:rFonts w:ascii="Arial" w:hAnsi="Arial" w:cs="Arial"/>
          <w:color w:val="000000" w:themeColor="text1"/>
          <w:sz w:val="22"/>
          <w:szCs w:val="24"/>
        </w:rPr>
        <w:t xml:space="preserve"> ALOCAÇÃO DE RECURSOS</w:t>
      </w:r>
      <w:bookmarkEnd w:id="17"/>
      <w:bookmarkEnd w:id="18"/>
    </w:p>
    <w:p w:rsidR="00CF771B" w:rsidRPr="006C70AF" w:rsidRDefault="00CF771B" w:rsidP="00CF771B">
      <w:pPr>
        <w:pStyle w:val="PargrafodaLista"/>
        <w:widowControl w:val="0"/>
        <w:spacing w:before="200" w:after="60" w:line="360" w:lineRule="auto"/>
        <w:ind w:left="0" w:firstLine="709"/>
        <w:contextualSpacing w:val="0"/>
        <w:rPr>
          <w:rFonts w:ascii="Arial" w:hAnsi="Arial" w:cs="Arial"/>
          <w:b/>
        </w:rPr>
      </w:pPr>
      <w:r w:rsidRPr="006C70AF">
        <w:rPr>
          <w:rFonts w:ascii="Arial" w:hAnsi="Arial" w:cs="Arial"/>
        </w:rPr>
        <w:t>Diante do cenário</w:t>
      </w:r>
      <w:r w:rsidR="003F4120">
        <w:rPr>
          <w:rFonts w:ascii="Arial" w:hAnsi="Arial" w:cs="Arial"/>
        </w:rPr>
        <w:t xml:space="preserve"> macroeconômico que o ano de 2020</w:t>
      </w:r>
      <w:r w:rsidRPr="006C70AF">
        <w:rPr>
          <w:rFonts w:ascii="Arial" w:hAnsi="Arial" w:cs="Arial"/>
        </w:rPr>
        <w:t xml:space="preserve"> vem apresentando e as perspectivas para o ano de 20</w:t>
      </w:r>
      <w:r w:rsidR="003F4120">
        <w:rPr>
          <w:rFonts w:ascii="Arial" w:hAnsi="Arial" w:cs="Arial"/>
        </w:rPr>
        <w:t>21</w:t>
      </w:r>
      <w:r w:rsidRPr="006C70AF">
        <w:rPr>
          <w:rFonts w:ascii="Arial" w:hAnsi="Arial" w:cs="Arial"/>
        </w:rPr>
        <w:t xml:space="preserve"> as alocações nos segmentos de renda fixa, renda variável </w:t>
      </w:r>
      <w:r>
        <w:rPr>
          <w:rFonts w:ascii="Arial" w:hAnsi="Arial" w:cs="Arial"/>
        </w:rPr>
        <w:t>e investimentos no exterior,</w:t>
      </w:r>
      <w:r w:rsidRPr="006C70AF">
        <w:rPr>
          <w:rFonts w:ascii="Arial" w:hAnsi="Arial" w:cs="Arial"/>
        </w:rPr>
        <w:t xml:space="preserve"> deverá permanecer conforme os limites da Resolução </w:t>
      </w:r>
      <w:r>
        <w:rPr>
          <w:rFonts w:ascii="Arial" w:hAnsi="Arial" w:cs="Arial"/>
        </w:rPr>
        <w:t>4</w:t>
      </w:r>
      <w:r w:rsidR="003C708E">
        <w:rPr>
          <w:rFonts w:ascii="Arial" w:hAnsi="Arial" w:cs="Arial"/>
        </w:rPr>
        <w:t>.</w:t>
      </w:r>
      <w:r>
        <w:rPr>
          <w:rFonts w:ascii="Arial" w:hAnsi="Arial" w:cs="Arial"/>
        </w:rPr>
        <w:t>695</w:t>
      </w:r>
      <w:r w:rsidRPr="006C70AF">
        <w:rPr>
          <w:rFonts w:ascii="Arial" w:hAnsi="Arial" w:cs="Arial"/>
        </w:rPr>
        <w:t>/201</w:t>
      </w:r>
      <w:r>
        <w:rPr>
          <w:rFonts w:ascii="Arial" w:hAnsi="Arial" w:cs="Arial"/>
        </w:rPr>
        <w:t>8</w:t>
      </w:r>
      <w:r w:rsidRPr="006C70AF">
        <w:rPr>
          <w:rFonts w:ascii="Arial" w:hAnsi="Arial" w:cs="Arial"/>
        </w:rPr>
        <w:t xml:space="preserve"> CMN possibilitando a diversificação dos investimentos. </w:t>
      </w:r>
    </w:p>
    <w:p w:rsidR="00CF771B" w:rsidRPr="006C70AF" w:rsidRDefault="00CF771B" w:rsidP="00CF771B">
      <w:pPr>
        <w:pStyle w:val="Ttulo2"/>
        <w:spacing w:line="360" w:lineRule="auto"/>
        <w:rPr>
          <w:rFonts w:ascii="Arial" w:hAnsi="Arial" w:cs="Arial"/>
          <w:b w:val="0"/>
          <w:color w:val="000000" w:themeColor="text1"/>
          <w:sz w:val="22"/>
          <w:szCs w:val="22"/>
        </w:rPr>
      </w:pPr>
      <w:bookmarkStart w:id="19" w:name="_Toc536189702"/>
      <w:bookmarkStart w:id="20" w:name="_Toc20133929"/>
      <w:proofErr w:type="gramStart"/>
      <w:r w:rsidRPr="006C70AF">
        <w:rPr>
          <w:rFonts w:ascii="Arial" w:hAnsi="Arial" w:cs="Arial"/>
          <w:color w:val="000000" w:themeColor="text1"/>
          <w:sz w:val="22"/>
          <w:szCs w:val="22"/>
        </w:rPr>
        <w:t>6.1 SEGMENTO</w:t>
      </w:r>
      <w:proofErr w:type="gramEnd"/>
      <w:r w:rsidRPr="006C70AF">
        <w:rPr>
          <w:rFonts w:ascii="Arial" w:hAnsi="Arial" w:cs="Arial"/>
          <w:color w:val="000000" w:themeColor="text1"/>
          <w:sz w:val="22"/>
          <w:szCs w:val="22"/>
        </w:rPr>
        <w:t xml:space="preserve"> DE RENDA FIXA</w:t>
      </w:r>
      <w:bookmarkEnd w:id="19"/>
      <w:bookmarkEnd w:id="20"/>
    </w:p>
    <w:p w:rsidR="00CF771B" w:rsidRPr="006C70AF" w:rsidRDefault="00CF771B" w:rsidP="00CF771B">
      <w:pPr>
        <w:widowControl w:val="0"/>
        <w:tabs>
          <w:tab w:val="left" w:pos="851"/>
        </w:tabs>
        <w:spacing w:before="60" w:after="60" w:line="360" w:lineRule="auto"/>
        <w:ind w:firstLine="709"/>
        <w:jc w:val="both"/>
        <w:rPr>
          <w:rFonts w:ascii="Arial" w:hAnsi="Arial" w:cs="Arial"/>
          <w:b/>
        </w:rPr>
      </w:pPr>
      <w:r w:rsidRPr="006C70AF">
        <w:rPr>
          <w:rFonts w:ascii="Arial" w:hAnsi="Arial" w:cs="Arial"/>
          <w:b/>
        </w:rPr>
        <w:t>Para aplicação no segmento renda fixa as premissas abaixo devem ser seguidas:</w:t>
      </w:r>
      <w:r w:rsidRPr="006C70AF">
        <w:rPr>
          <w:rFonts w:ascii="Arial" w:hAnsi="Arial" w:cs="Arial"/>
          <w:b/>
        </w:rPr>
        <w:tab/>
      </w:r>
    </w:p>
    <w:p w:rsidR="00CF771B" w:rsidRPr="006C70AF" w:rsidRDefault="00CF771B" w:rsidP="00CF771B">
      <w:pPr>
        <w:widowControl w:val="0"/>
        <w:tabs>
          <w:tab w:val="left" w:pos="851"/>
        </w:tabs>
        <w:spacing w:before="60" w:after="60" w:line="360" w:lineRule="auto"/>
        <w:ind w:firstLine="709"/>
        <w:jc w:val="both"/>
        <w:rPr>
          <w:rFonts w:ascii="Arial" w:hAnsi="Arial" w:cs="Arial"/>
        </w:rPr>
      </w:pPr>
      <w:r w:rsidRPr="006C70AF">
        <w:rPr>
          <w:rFonts w:ascii="Arial" w:hAnsi="Arial" w:cs="Arial"/>
        </w:rPr>
        <w:t>Quando das operações diretas com títulos públicos, deverão ser observados os seguintes pontos:</w:t>
      </w:r>
    </w:p>
    <w:p w:rsidR="00CF771B" w:rsidRPr="006C70AF" w:rsidRDefault="00CF771B" w:rsidP="00CF771B">
      <w:pPr>
        <w:pStyle w:val="PargrafodaLista"/>
        <w:keepLines/>
        <w:widowControl w:val="0"/>
        <w:numPr>
          <w:ilvl w:val="0"/>
          <w:numId w:val="2"/>
        </w:numPr>
        <w:spacing w:before="60" w:after="60" w:line="360" w:lineRule="auto"/>
        <w:ind w:left="714" w:firstLine="709"/>
        <w:contextualSpacing w:val="0"/>
        <w:rPr>
          <w:rFonts w:ascii="Arial" w:hAnsi="Arial" w:cs="Arial"/>
        </w:rPr>
      </w:pPr>
      <w:r w:rsidRPr="006C70AF">
        <w:rPr>
          <w:rFonts w:ascii="Arial" w:hAnsi="Arial" w:cs="Arial"/>
        </w:rPr>
        <w:t xml:space="preserve">Abertura de conta segregada de custódia; </w:t>
      </w:r>
    </w:p>
    <w:p w:rsidR="00CF771B" w:rsidRPr="006C70AF" w:rsidRDefault="00CF771B" w:rsidP="00CF771B">
      <w:pPr>
        <w:pStyle w:val="PargrafodaLista"/>
        <w:keepLines/>
        <w:widowControl w:val="0"/>
        <w:numPr>
          <w:ilvl w:val="0"/>
          <w:numId w:val="2"/>
        </w:numPr>
        <w:spacing w:before="60" w:after="60" w:line="360" w:lineRule="auto"/>
        <w:ind w:left="714" w:firstLine="709"/>
        <w:contextualSpacing w:val="0"/>
        <w:rPr>
          <w:rFonts w:ascii="Arial" w:hAnsi="Arial" w:cs="Arial"/>
        </w:rPr>
      </w:pPr>
      <w:r w:rsidRPr="006C70AF">
        <w:rPr>
          <w:rFonts w:ascii="Arial" w:hAnsi="Arial" w:cs="Arial"/>
        </w:rPr>
        <w:t xml:space="preserve">Pesquisas sobre níveis de preços em entidades reconhecidas; </w:t>
      </w:r>
    </w:p>
    <w:p w:rsidR="00CF771B" w:rsidRPr="006C70AF" w:rsidRDefault="00CF771B" w:rsidP="00CF771B">
      <w:pPr>
        <w:pStyle w:val="PargrafodaLista"/>
        <w:keepLines/>
        <w:widowControl w:val="0"/>
        <w:numPr>
          <w:ilvl w:val="0"/>
          <w:numId w:val="2"/>
        </w:numPr>
        <w:spacing w:before="60" w:after="60" w:line="360" w:lineRule="auto"/>
        <w:ind w:left="714" w:firstLine="709"/>
        <w:contextualSpacing w:val="0"/>
        <w:rPr>
          <w:rFonts w:ascii="Arial" w:hAnsi="Arial" w:cs="Arial"/>
        </w:rPr>
      </w:pPr>
      <w:r w:rsidRPr="006C70AF">
        <w:rPr>
          <w:rFonts w:ascii="Arial" w:hAnsi="Arial" w:cs="Arial"/>
        </w:rPr>
        <w:t xml:space="preserve">Processo de tomada de preços via cotações de mercado; </w:t>
      </w:r>
      <w:proofErr w:type="gramStart"/>
      <w:r w:rsidRPr="006C70AF">
        <w:rPr>
          <w:rFonts w:ascii="Arial" w:hAnsi="Arial" w:cs="Arial"/>
        </w:rPr>
        <w:t>e</w:t>
      </w:r>
      <w:proofErr w:type="gramEnd"/>
    </w:p>
    <w:p w:rsidR="00CF771B" w:rsidRPr="006C70AF" w:rsidRDefault="00CF771B" w:rsidP="00CF771B">
      <w:pPr>
        <w:pStyle w:val="PargrafodaLista"/>
        <w:keepLines/>
        <w:widowControl w:val="0"/>
        <w:numPr>
          <w:ilvl w:val="0"/>
          <w:numId w:val="2"/>
        </w:numPr>
        <w:spacing w:before="60" w:after="60" w:line="360" w:lineRule="auto"/>
        <w:ind w:left="714" w:firstLine="709"/>
        <w:contextualSpacing w:val="0"/>
        <w:rPr>
          <w:rFonts w:ascii="Arial" w:hAnsi="Arial" w:cs="Arial"/>
        </w:rPr>
      </w:pPr>
      <w:r w:rsidRPr="006C70AF">
        <w:rPr>
          <w:rFonts w:ascii="Arial" w:hAnsi="Arial" w:cs="Arial"/>
        </w:rPr>
        <w:t>Uso de plataformas eletrônicas.</w:t>
      </w:r>
    </w:p>
    <w:p w:rsidR="00CF771B" w:rsidRPr="006C70AF" w:rsidRDefault="00CF771B" w:rsidP="00CF771B">
      <w:pPr>
        <w:keepLines/>
        <w:widowControl w:val="0"/>
        <w:spacing w:before="60" w:after="60" w:line="360" w:lineRule="auto"/>
        <w:ind w:firstLine="709"/>
        <w:jc w:val="both"/>
        <w:rPr>
          <w:rFonts w:ascii="Arial" w:hAnsi="Arial" w:cs="Arial"/>
        </w:rPr>
      </w:pPr>
    </w:p>
    <w:p w:rsidR="00CF771B" w:rsidRPr="006C70AF" w:rsidRDefault="00CF771B" w:rsidP="00CF771B">
      <w:pPr>
        <w:keepLines/>
        <w:widowControl w:val="0"/>
        <w:spacing w:before="60" w:after="60" w:line="360" w:lineRule="auto"/>
        <w:ind w:firstLine="709"/>
        <w:jc w:val="both"/>
        <w:rPr>
          <w:rFonts w:ascii="Arial" w:hAnsi="Arial" w:cs="Arial"/>
        </w:rPr>
      </w:pPr>
      <w:r w:rsidRPr="006C70AF">
        <w:rPr>
          <w:rFonts w:ascii="Arial" w:hAnsi="Arial" w:cs="Arial"/>
        </w:rPr>
        <w:t>Nos investimentos em renda fixa direto via títulos públicos ou operações compromissadas (Resolução BCB 3</w:t>
      </w:r>
      <w:r w:rsidR="003C708E">
        <w:rPr>
          <w:rFonts w:ascii="Arial" w:hAnsi="Arial" w:cs="Arial"/>
        </w:rPr>
        <w:t>.</w:t>
      </w:r>
      <w:r w:rsidRPr="006C70AF">
        <w:rPr>
          <w:rFonts w:ascii="Arial" w:hAnsi="Arial" w:cs="Arial"/>
        </w:rPr>
        <w:t>339/06 e Resolução BCB 550/79) e nos investimentos indiretos via fundos de investimentos deverão ser levados em conta os seguintes riscos envolvidos nas operações:</w:t>
      </w:r>
    </w:p>
    <w:p w:rsidR="00CF771B" w:rsidRPr="0036724A" w:rsidRDefault="00CF771B" w:rsidP="00CF771B">
      <w:pPr>
        <w:pStyle w:val="NormalWeb"/>
        <w:spacing w:line="360" w:lineRule="auto"/>
        <w:ind w:firstLine="851"/>
        <w:jc w:val="both"/>
        <w:rPr>
          <w:rFonts w:ascii="Arial" w:hAnsi="Arial" w:cs="Arial"/>
          <w:sz w:val="22"/>
          <w:szCs w:val="22"/>
        </w:rPr>
      </w:pPr>
    </w:p>
    <w:p w:rsidR="00CF771B" w:rsidRPr="006C70AF" w:rsidRDefault="00CF771B" w:rsidP="00CF771B">
      <w:pPr>
        <w:keepLines/>
        <w:widowControl w:val="0"/>
        <w:numPr>
          <w:ilvl w:val="0"/>
          <w:numId w:val="3"/>
        </w:numPr>
        <w:spacing w:before="60" w:after="60" w:line="360" w:lineRule="auto"/>
        <w:ind w:left="1276" w:firstLine="709"/>
        <w:jc w:val="both"/>
        <w:rPr>
          <w:rFonts w:ascii="Arial" w:hAnsi="Arial" w:cs="Arial"/>
        </w:rPr>
      </w:pPr>
      <w:r w:rsidRPr="007149FA">
        <w:rPr>
          <w:rFonts w:ascii="Arial Narrow" w:hAnsi="Arial Narrow" w:cs="Arial"/>
        </w:rPr>
        <w:t xml:space="preserve">  </w:t>
      </w:r>
      <w:r w:rsidRPr="006C70AF">
        <w:rPr>
          <w:rFonts w:ascii="Arial" w:hAnsi="Arial" w:cs="Arial"/>
        </w:rPr>
        <w:tab/>
        <w:t>Risco de crédito dos ativos: possibilidade do devedor não honrar seus compromissos.</w:t>
      </w:r>
    </w:p>
    <w:p w:rsidR="00CF771B" w:rsidRPr="006C70AF" w:rsidRDefault="00CF771B" w:rsidP="00CF771B">
      <w:pPr>
        <w:keepLines/>
        <w:widowControl w:val="0"/>
        <w:numPr>
          <w:ilvl w:val="0"/>
          <w:numId w:val="3"/>
        </w:numPr>
        <w:tabs>
          <w:tab w:val="left" w:pos="426"/>
        </w:tabs>
        <w:spacing w:before="60" w:after="60" w:line="360" w:lineRule="auto"/>
        <w:ind w:left="1276" w:firstLine="709"/>
        <w:jc w:val="both"/>
        <w:rPr>
          <w:rFonts w:ascii="Arial" w:hAnsi="Arial" w:cs="Arial"/>
        </w:rPr>
      </w:pPr>
      <w:r w:rsidRPr="006C70AF">
        <w:rPr>
          <w:rFonts w:ascii="Arial" w:hAnsi="Arial" w:cs="Arial"/>
        </w:rPr>
        <w:t xml:space="preserve">  </w:t>
      </w:r>
      <w:r w:rsidRPr="006C70AF">
        <w:rPr>
          <w:rFonts w:ascii="Arial" w:hAnsi="Arial" w:cs="Arial"/>
        </w:rPr>
        <w:tab/>
        <w:t xml:space="preserve">Risco sistemático ou conjuntural: são os riscos que os sistemas econômicos, político e social, impõem ao governo. </w:t>
      </w:r>
    </w:p>
    <w:p w:rsidR="00CF771B" w:rsidRPr="006C70AF" w:rsidRDefault="00CF771B" w:rsidP="00CF771B">
      <w:pPr>
        <w:keepLines/>
        <w:widowControl w:val="0"/>
        <w:numPr>
          <w:ilvl w:val="0"/>
          <w:numId w:val="3"/>
        </w:numPr>
        <w:tabs>
          <w:tab w:val="left" w:pos="426"/>
        </w:tabs>
        <w:spacing w:before="60" w:after="60" w:line="360" w:lineRule="auto"/>
        <w:ind w:left="1276" w:firstLine="709"/>
        <w:jc w:val="both"/>
        <w:rPr>
          <w:rFonts w:ascii="Arial" w:hAnsi="Arial" w:cs="Arial"/>
        </w:rPr>
      </w:pPr>
      <w:r w:rsidRPr="006C70AF">
        <w:rPr>
          <w:rFonts w:ascii="Arial" w:hAnsi="Arial" w:cs="Arial"/>
        </w:rPr>
        <w:lastRenderedPageBreak/>
        <w:t xml:space="preserve">  </w:t>
      </w:r>
      <w:r w:rsidRPr="006C70AF">
        <w:rPr>
          <w:rFonts w:ascii="Arial" w:hAnsi="Arial" w:cs="Arial"/>
        </w:rPr>
        <w:tab/>
        <w:t xml:space="preserve">Risco próprio: consiste no risco intrínseco ao ativo e ao subsistema ao qual </w:t>
      </w:r>
      <w:proofErr w:type="gramStart"/>
      <w:r w:rsidRPr="006C70AF">
        <w:rPr>
          <w:rFonts w:ascii="Arial" w:hAnsi="Arial" w:cs="Arial"/>
        </w:rPr>
        <w:t>o ativo pertença</w:t>
      </w:r>
      <w:proofErr w:type="gramEnd"/>
      <w:r w:rsidRPr="006C70AF">
        <w:rPr>
          <w:rFonts w:ascii="Arial" w:hAnsi="Arial" w:cs="Arial"/>
        </w:rPr>
        <w:t>.</w:t>
      </w:r>
    </w:p>
    <w:p w:rsidR="00CF771B" w:rsidRPr="006C70AF" w:rsidRDefault="00CF771B" w:rsidP="00CF771B">
      <w:pPr>
        <w:keepLines/>
        <w:widowControl w:val="0"/>
        <w:numPr>
          <w:ilvl w:val="0"/>
          <w:numId w:val="3"/>
        </w:numPr>
        <w:tabs>
          <w:tab w:val="left" w:pos="284"/>
        </w:tabs>
        <w:spacing w:before="60" w:after="60" w:line="360" w:lineRule="auto"/>
        <w:ind w:left="1276" w:firstLine="709"/>
        <w:jc w:val="both"/>
        <w:rPr>
          <w:rFonts w:ascii="Arial" w:hAnsi="Arial" w:cs="Arial"/>
        </w:rPr>
      </w:pPr>
      <w:r w:rsidRPr="006C70AF">
        <w:rPr>
          <w:rFonts w:ascii="Arial" w:hAnsi="Arial" w:cs="Arial"/>
        </w:rPr>
        <w:t xml:space="preserve">  </w:t>
      </w:r>
      <w:r w:rsidRPr="006C70AF">
        <w:rPr>
          <w:rFonts w:ascii="Arial" w:hAnsi="Arial" w:cs="Arial"/>
        </w:rPr>
        <w:tab/>
        <w:t xml:space="preserve">Risco de mercado: é o risco de oscilações de preços do ativo. </w:t>
      </w:r>
    </w:p>
    <w:p w:rsidR="00CF771B" w:rsidRPr="006C70AF" w:rsidRDefault="00CF771B" w:rsidP="00CF771B">
      <w:pPr>
        <w:keepLines/>
        <w:widowControl w:val="0"/>
        <w:numPr>
          <w:ilvl w:val="0"/>
          <w:numId w:val="3"/>
        </w:numPr>
        <w:tabs>
          <w:tab w:val="left" w:pos="426"/>
        </w:tabs>
        <w:spacing w:before="60" w:after="60" w:line="360" w:lineRule="auto"/>
        <w:ind w:left="1276" w:firstLine="709"/>
        <w:jc w:val="both"/>
        <w:rPr>
          <w:rFonts w:ascii="Arial" w:hAnsi="Arial" w:cs="Arial"/>
        </w:rPr>
      </w:pPr>
      <w:r w:rsidRPr="006C70AF">
        <w:rPr>
          <w:rFonts w:ascii="Arial" w:hAnsi="Arial" w:cs="Arial"/>
        </w:rPr>
        <w:t xml:space="preserve">  </w:t>
      </w:r>
      <w:r w:rsidRPr="006C70AF">
        <w:rPr>
          <w:rFonts w:ascii="Arial" w:hAnsi="Arial" w:cs="Arial"/>
        </w:rPr>
        <w:tab/>
        <w:t>Risco de liquidez: também chamado risco financeiro. É conhecido pela falta de condição de pagamento do emissor ou ausência de mercado secundário daquele tipo de ativo.</w:t>
      </w:r>
    </w:p>
    <w:p w:rsidR="00CF771B" w:rsidRPr="006C70AF" w:rsidRDefault="00CF771B" w:rsidP="00CF771B">
      <w:pPr>
        <w:keepLines/>
        <w:widowControl w:val="0"/>
        <w:numPr>
          <w:ilvl w:val="0"/>
          <w:numId w:val="3"/>
        </w:numPr>
        <w:tabs>
          <w:tab w:val="left" w:pos="426"/>
        </w:tabs>
        <w:spacing w:before="60" w:after="60" w:line="360" w:lineRule="auto"/>
        <w:ind w:left="1276" w:firstLine="709"/>
        <w:jc w:val="both"/>
        <w:rPr>
          <w:rFonts w:ascii="Arial" w:hAnsi="Arial" w:cs="Arial"/>
        </w:rPr>
      </w:pPr>
      <w:r w:rsidRPr="006C70AF">
        <w:rPr>
          <w:rFonts w:ascii="Arial" w:hAnsi="Arial" w:cs="Arial"/>
        </w:rPr>
        <w:t xml:space="preserve">  </w:t>
      </w:r>
      <w:r w:rsidRPr="006C70AF">
        <w:rPr>
          <w:rFonts w:ascii="Arial" w:hAnsi="Arial" w:cs="Arial"/>
        </w:rPr>
        <w:tab/>
        <w:t xml:space="preserve">Risco de contraparte: também conhecido como risco de coobrigação, é quando da securitização de dívida existe endosso por parte de terceiros e este também fica sem liquidez.  </w:t>
      </w:r>
    </w:p>
    <w:p w:rsidR="00CF771B" w:rsidRPr="006C70AF" w:rsidRDefault="00CF771B" w:rsidP="00CF771B">
      <w:pPr>
        <w:keepLines/>
        <w:widowControl w:val="0"/>
        <w:numPr>
          <w:ilvl w:val="0"/>
          <w:numId w:val="3"/>
        </w:numPr>
        <w:tabs>
          <w:tab w:val="left" w:pos="426"/>
        </w:tabs>
        <w:spacing w:before="60" w:after="60" w:line="360" w:lineRule="auto"/>
        <w:ind w:left="1276" w:firstLine="709"/>
        <w:jc w:val="both"/>
        <w:rPr>
          <w:rFonts w:ascii="Arial" w:hAnsi="Arial" w:cs="Arial"/>
        </w:rPr>
      </w:pPr>
      <w:r w:rsidRPr="006C70AF">
        <w:rPr>
          <w:rFonts w:ascii="Arial" w:hAnsi="Arial" w:cs="Arial"/>
        </w:rPr>
        <w:t xml:space="preserve">  </w:t>
      </w:r>
      <w:r w:rsidRPr="006C70AF">
        <w:rPr>
          <w:rFonts w:ascii="Arial" w:hAnsi="Arial" w:cs="Arial"/>
        </w:rPr>
        <w:tab/>
        <w:t xml:space="preserve">Risco legal: tipo de risco o qual o ativo objeto do investimento esteja sujeito </w:t>
      </w:r>
      <w:proofErr w:type="gramStart"/>
      <w:r w:rsidRPr="006C70AF">
        <w:rPr>
          <w:rFonts w:ascii="Arial" w:hAnsi="Arial" w:cs="Arial"/>
        </w:rPr>
        <w:t>a</w:t>
      </w:r>
      <w:proofErr w:type="gramEnd"/>
      <w:r w:rsidRPr="006C70AF">
        <w:rPr>
          <w:rFonts w:ascii="Arial" w:hAnsi="Arial" w:cs="Arial"/>
        </w:rPr>
        <w:t xml:space="preserve"> interpelação judicial. </w:t>
      </w:r>
    </w:p>
    <w:p w:rsidR="00CF771B" w:rsidRPr="006C70AF" w:rsidRDefault="00CF771B" w:rsidP="00CF771B">
      <w:pPr>
        <w:keepLines/>
        <w:widowControl w:val="0"/>
        <w:numPr>
          <w:ilvl w:val="0"/>
          <w:numId w:val="3"/>
        </w:numPr>
        <w:tabs>
          <w:tab w:val="left" w:pos="426"/>
        </w:tabs>
        <w:spacing w:before="60" w:after="60" w:line="360" w:lineRule="auto"/>
        <w:ind w:left="1276" w:firstLine="709"/>
        <w:jc w:val="both"/>
        <w:rPr>
          <w:rFonts w:ascii="Arial" w:hAnsi="Arial" w:cs="Arial"/>
        </w:rPr>
      </w:pPr>
      <w:r w:rsidRPr="006C70AF">
        <w:rPr>
          <w:rFonts w:ascii="Arial" w:hAnsi="Arial" w:cs="Arial"/>
        </w:rPr>
        <w:t xml:space="preserve">  </w:t>
      </w:r>
      <w:r w:rsidRPr="006C70AF">
        <w:rPr>
          <w:rFonts w:ascii="Arial" w:hAnsi="Arial" w:cs="Arial"/>
        </w:rPr>
        <w:tab/>
        <w:t>Risco operacional: está ligado à incompetência ou à desonestidade dos administradores.</w:t>
      </w:r>
    </w:p>
    <w:p w:rsidR="00CF771B" w:rsidRPr="006C70AF" w:rsidRDefault="00CF771B" w:rsidP="00CF771B">
      <w:pPr>
        <w:keepLines/>
        <w:widowControl w:val="0"/>
        <w:tabs>
          <w:tab w:val="left" w:pos="0"/>
        </w:tabs>
        <w:spacing w:before="60" w:after="60" w:line="360" w:lineRule="auto"/>
        <w:ind w:firstLine="709"/>
        <w:jc w:val="both"/>
        <w:rPr>
          <w:rFonts w:ascii="Arial" w:hAnsi="Arial" w:cs="Arial"/>
          <w:b/>
          <w:color w:val="FFFFFF"/>
        </w:rPr>
      </w:pPr>
      <w:r w:rsidRPr="006C70AF">
        <w:rPr>
          <w:rFonts w:ascii="Arial" w:hAnsi="Arial" w:cs="Arial"/>
          <w:color w:val="000000"/>
        </w:rPr>
        <w:t xml:space="preserve">Notas de Rating: os ativos integrantes das carteiras ou seus respectivos emissores, conforme </w:t>
      </w:r>
      <w:r w:rsidRPr="006C70AF">
        <w:rPr>
          <w:rFonts w:ascii="Arial" w:hAnsi="Arial" w:cs="Arial"/>
        </w:rPr>
        <w:t>definido na Resolução 3.922/10, serão considerados de baixo risco de crédito, de acordo com</w:t>
      </w:r>
      <w:r w:rsidRPr="006C70AF">
        <w:rPr>
          <w:rFonts w:ascii="Arial" w:hAnsi="Arial" w:cs="Arial"/>
          <w:color w:val="000000"/>
        </w:rPr>
        <w:t xml:space="preserve"> classificação mínima (rating) </w:t>
      </w:r>
      <w:r w:rsidRPr="006C70AF">
        <w:rPr>
          <w:rFonts w:ascii="Arial" w:hAnsi="Arial" w:cs="Arial"/>
        </w:rPr>
        <w:t>estabelecida, por pelo menos uma das agências classificadoras de risco em funcionamento no País conforme tabela abaixo.</w:t>
      </w:r>
      <w:r w:rsidRPr="006C70AF">
        <w:rPr>
          <w:rFonts w:ascii="Arial" w:hAnsi="Arial" w:cs="Arial"/>
          <w:color w:val="000000"/>
        </w:rPr>
        <w:t xml:space="preserve"> </w:t>
      </w:r>
    </w:p>
    <w:p w:rsidR="00CF771B" w:rsidRDefault="00CF771B" w:rsidP="00CF771B">
      <w:pPr>
        <w:keepLines/>
        <w:widowControl w:val="0"/>
        <w:tabs>
          <w:tab w:val="left" w:pos="0"/>
        </w:tabs>
        <w:spacing w:before="60" w:after="60" w:line="360" w:lineRule="auto"/>
        <w:ind w:firstLine="709"/>
        <w:jc w:val="both"/>
        <w:rPr>
          <w:rFonts w:ascii="Arial" w:eastAsia="Times New Roman" w:hAnsi="Arial" w:cs="Arial"/>
          <w:lang w:eastAsia="pt-BR"/>
        </w:rPr>
      </w:pPr>
      <w:r w:rsidRPr="006C70AF">
        <w:rPr>
          <w:rFonts w:ascii="Arial" w:eastAsia="Times New Roman" w:hAnsi="Arial" w:cs="Arial"/>
          <w:lang w:eastAsia="pt-BR"/>
        </w:rPr>
        <w:t xml:space="preserve">Nas alternativas de investimentos que exigem avaliação de risco de crédito </w:t>
      </w:r>
      <w:r w:rsidRPr="006C70AF">
        <w:rPr>
          <w:rFonts w:ascii="Arial" w:eastAsia="Times New Roman" w:hAnsi="Arial" w:cs="Arial"/>
          <w:i/>
          <w:lang w:eastAsia="pt-BR"/>
        </w:rPr>
        <w:t>(rating)</w:t>
      </w:r>
      <w:r w:rsidRPr="006C70AF">
        <w:rPr>
          <w:rFonts w:ascii="Arial" w:eastAsia="Times New Roman" w:hAnsi="Arial" w:cs="Arial"/>
          <w:lang w:eastAsia="pt-BR"/>
        </w:rPr>
        <w:t xml:space="preserve">, este RPPS utilizará a tabela abaixo como parâmetro. Nela estão descritas as notas das principais agências </w:t>
      </w:r>
      <w:r w:rsidRPr="006C70AF">
        <w:rPr>
          <w:rFonts w:ascii="Arial" w:eastAsia="Times New Roman" w:hAnsi="Arial" w:cs="Arial"/>
          <w:color w:val="000000" w:themeColor="text1"/>
          <w:lang w:eastAsia="pt-BR"/>
        </w:rPr>
        <w:t>internacionais classificadoras de risco, até a nota mínima aceita. Em caso de avaliação de risco de crédito executada por outra agência, que passe a ser aceita e definida em reunião do Comitê de Investimentos deste RPP</w:t>
      </w:r>
      <w:r w:rsidRPr="003C708E">
        <w:rPr>
          <w:rFonts w:ascii="Arial" w:eastAsia="Times New Roman" w:hAnsi="Arial" w:cs="Arial"/>
          <w:color w:val="000000" w:themeColor="text1"/>
          <w:lang w:eastAsia="pt-BR"/>
        </w:rPr>
        <w:t xml:space="preserve">S, </w:t>
      </w:r>
      <w:r w:rsidRPr="006C70AF">
        <w:rPr>
          <w:rFonts w:ascii="Arial" w:eastAsia="Times New Roman" w:hAnsi="Arial" w:cs="Arial"/>
          <w:lang w:eastAsia="pt-BR"/>
        </w:rPr>
        <w:t xml:space="preserve">sua nota equivalente deverá ser estar compreendida </w:t>
      </w:r>
      <w:r w:rsidR="003C708E">
        <w:rPr>
          <w:rFonts w:ascii="Arial" w:eastAsia="Times New Roman" w:hAnsi="Arial" w:cs="Arial"/>
          <w:lang w:eastAsia="pt-BR"/>
        </w:rPr>
        <w:t>dentre</w:t>
      </w:r>
      <w:r w:rsidRPr="006C70AF">
        <w:rPr>
          <w:rFonts w:ascii="Arial" w:eastAsia="Times New Roman" w:hAnsi="Arial" w:cs="Arial"/>
          <w:lang w:eastAsia="pt-BR"/>
        </w:rPr>
        <w:t xml:space="preserve"> uma das</w:t>
      </w:r>
      <w:r w:rsidR="00C023D8">
        <w:rPr>
          <w:rFonts w:ascii="Arial" w:eastAsia="Times New Roman" w:hAnsi="Arial" w:cs="Arial"/>
          <w:lang w:eastAsia="pt-BR"/>
        </w:rPr>
        <w:t xml:space="preserve"> compreendidas</w:t>
      </w:r>
      <w:r w:rsidRPr="006C70AF">
        <w:rPr>
          <w:rFonts w:ascii="Arial" w:eastAsia="Times New Roman" w:hAnsi="Arial" w:cs="Arial"/>
          <w:lang w:eastAsia="pt-BR"/>
        </w:rPr>
        <w:t xml:space="preserve"> </w:t>
      </w:r>
      <w:r w:rsidR="003C708E">
        <w:rPr>
          <w:rFonts w:ascii="Arial" w:eastAsia="Times New Roman" w:hAnsi="Arial" w:cs="Arial"/>
          <w:lang w:eastAsia="pt-BR"/>
        </w:rPr>
        <w:t>n</w:t>
      </w:r>
      <w:r w:rsidRPr="006C70AF">
        <w:rPr>
          <w:rFonts w:ascii="Arial" w:eastAsia="Times New Roman" w:hAnsi="Arial" w:cs="Arial"/>
          <w:lang w:eastAsia="pt-BR"/>
        </w:rPr>
        <w:t>o quadro</w:t>
      </w:r>
      <w:r w:rsidR="003C708E">
        <w:rPr>
          <w:rFonts w:ascii="Arial" w:eastAsia="Times New Roman" w:hAnsi="Arial" w:cs="Arial"/>
          <w:lang w:eastAsia="pt-BR"/>
        </w:rPr>
        <w:t xml:space="preserve"> abaixo</w:t>
      </w:r>
      <w:r w:rsidRPr="006C70AF">
        <w:rPr>
          <w:rFonts w:ascii="Arial" w:eastAsia="Times New Roman" w:hAnsi="Arial" w:cs="Arial"/>
          <w:lang w:eastAsia="pt-BR"/>
        </w:rPr>
        <w:t>:</w:t>
      </w:r>
    </w:p>
    <w:p w:rsidR="00CF771B" w:rsidRDefault="00CF771B" w:rsidP="00CF771B">
      <w:pPr>
        <w:keepLines/>
        <w:widowControl w:val="0"/>
        <w:tabs>
          <w:tab w:val="left" w:pos="0"/>
        </w:tabs>
        <w:spacing w:before="60" w:after="60" w:line="360" w:lineRule="auto"/>
        <w:jc w:val="center"/>
        <w:rPr>
          <w:rFonts w:ascii="Arial" w:eastAsia="Times New Roman" w:hAnsi="Arial" w:cs="Arial"/>
          <w:lang w:eastAsia="pt-BR"/>
        </w:rPr>
      </w:pPr>
    </w:p>
    <w:p w:rsidR="00C023D8" w:rsidRDefault="00C023D8" w:rsidP="00CF771B">
      <w:pPr>
        <w:keepLines/>
        <w:widowControl w:val="0"/>
        <w:tabs>
          <w:tab w:val="left" w:pos="0"/>
        </w:tabs>
        <w:spacing w:before="60" w:after="60" w:line="360" w:lineRule="auto"/>
        <w:jc w:val="center"/>
        <w:rPr>
          <w:rFonts w:ascii="Arial" w:eastAsia="Times New Roman" w:hAnsi="Arial" w:cs="Arial"/>
          <w:lang w:eastAsia="pt-BR"/>
        </w:rPr>
      </w:pPr>
    </w:p>
    <w:p w:rsidR="003F5744" w:rsidRDefault="003F5744" w:rsidP="00CF771B">
      <w:pPr>
        <w:keepLines/>
        <w:widowControl w:val="0"/>
        <w:tabs>
          <w:tab w:val="left" w:pos="0"/>
        </w:tabs>
        <w:spacing w:before="60" w:after="60" w:line="360" w:lineRule="auto"/>
        <w:jc w:val="center"/>
        <w:rPr>
          <w:rFonts w:ascii="Arial" w:eastAsia="Times New Roman" w:hAnsi="Arial" w:cs="Arial"/>
          <w:lang w:eastAsia="pt-BR"/>
        </w:rPr>
      </w:pPr>
    </w:p>
    <w:p w:rsidR="003F5744" w:rsidRDefault="003F5744" w:rsidP="00CF771B">
      <w:pPr>
        <w:keepLines/>
        <w:widowControl w:val="0"/>
        <w:tabs>
          <w:tab w:val="left" w:pos="0"/>
        </w:tabs>
        <w:spacing w:before="60" w:after="60" w:line="360" w:lineRule="auto"/>
        <w:jc w:val="center"/>
        <w:rPr>
          <w:rFonts w:ascii="Arial" w:eastAsia="Times New Roman" w:hAnsi="Arial" w:cs="Arial"/>
          <w:lang w:eastAsia="pt-BR"/>
        </w:rPr>
      </w:pPr>
    </w:p>
    <w:p w:rsidR="003F5744" w:rsidRDefault="003F5744" w:rsidP="00CF771B">
      <w:pPr>
        <w:keepLines/>
        <w:widowControl w:val="0"/>
        <w:tabs>
          <w:tab w:val="left" w:pos="0"/>
        </w:tabs>
        <w:spacing w:before="60" w:after="60" w:line="360" w:lineRule="auto"/>
        <w:jc w:val="center"/>
        <w:rPr>
          <w:rFonts w:ascii="Arial" w:eastAsia="Times New Roman" w:hAnsi="Arial" w:cs="Arial"/>
          <w:lang w:eastAsia="pt-BR"/>
        </w:rPr>
      </w:pPr>
    </w:p>
    <w:p w:rsidR="003F5744" w:rsidRDefault="003F5744" w:rsidP="00CF771B">
      <w:pPr>
        <w:keepLines/>
        <w:widowControl w:val="0"/>
        <w:tabs>
          <w:tab w:val="left" w:pos="0"/>
        </w:tabs>
        <w:spacing w:before="60" w:after="60" w:line="360" w:lineRule="auto"/>
        <w:jc w:val="center"/>
        <w:rPr>
          <w:rFonts w:ascii="Arial" w:eastAsia="Times New Roman" w:hAnsi="Arial" w:cs="Arial"/>
          <w:lang w:eastAsia="pt-BR"/>
        </w:rPr>
      </w:pPr>
    </w:p>
    <w:p w:rsidR="00C023D8" w:rsidRDefault="00C023D8" w:rsidP="00CF771B">
      <w:pPr>
        <w:keepLines/>
        <w:widowControl w:val="0"/>
        <w:tabs>
          <w:tab w:val="left" w:pos="0"/>
        </w:tabs>
        <w:spacing w:before="60" w:after="60" w:line="360" w:lineRule="auto"/>
        <w:jc w:val="center"/>
        <w:rPr>
          <w:rFonts w:ascii="Arial" w:eastAsia="Times New Roman" w:hAnsi="Arial" w:cs="Arial"/>
          <w:lang w:eastAsia="pt-BR"/>
        </w:rPr>
      </w:pPr>
    </w:p>
    <w:tbl>
      <w:tblPr>
        <w:tblW w:w="11208" w:type="dxa"/>
        <w:jc w:val="center"/>
        <w:tblCellMar>
          <w:left w:w="70" w:type="dxa"/>
          <w:right w:w="70" w:type="dxa"/>
        </w:tblCellMar>
        <w:tblLook w:val="04A0" w:firstRow="1" w:lastRow="0" w:firstColumn="1" w:lastColumn="0" w:noHBand="0" w:noVBand="1"/>
      </w:tblPr>
      <w:tblGrid>
        <w:gridCol w:w="1565"/>
        <w:gridCol w:w="1323"/>
        <w:gridCol w:w="1418"/>
        <w:gridCol w:w="1417"/>
        <w:gridCol w:w="1509"/>
        <w:gridCol w:w="1468"/>
        <w:gridCol w:w="2508"/>
      </w:tblGrid>
      <w:tr w:rsidR="00CF771B" w:rsidRPr="006C70AF" w:rsidTr="00CF771B">
        <w:trPr>
          <w:trHeight w:val="300"/>
          <w:jc w:val="center"/>
        </w:trPr>
        <w:tc>
          <w:tcPr>
            <w:tcW w:w="2888" w:type="dxa"/>
            <w:gridSpan w:val="2"/>
            <w:tcBorders>
              <w:top w:val="single" w:sz="4" w:space="0" w:color="auto"/>
              <w:left w:val="single" w:sz="4" w:space="0" w:color="auto"/>
              <w:bottom w:val="nil"/>
              <w:right w:val="nil"/>
            </w:tcBorders>
            <w:shd w:val="clear" w:color="000000" w:fill="A5A5A5"/>
            <w:noWrap/>
            <w:vAlign w:val="center"/>
            <w:hideMark/>
          </w:tcPr>
          <w:p w:rsidR="00CF771B" w:rsidRPr="006C70AF" w:rsidRDefault="00CF771B" w:rsidP="00CF771B">
            <w:pPr>
              <w:spacing w:after="0" w:line="240" w:lineRule="auto"/>
              <w:jc w:val="center"/>
              <w:rPr>
                <w:rFonts w:ascii="Arial" w:eastAsia="Times New Roman" w:hAnsi="Arial" w:cs="Arial"/>
                <w:b/>
                <w:bCs/>
                <w:color w:val="000000"/>
                <w:sz w:val="20"/>
                <w:szCs w:val="20"/>
                <w:lang w:eastAsia="pt-BR"/>
              </w:rPr>
            </w:pPr>
            <w:r w:rsidRPr="006C70AF">
              <w:rPr>
                <w:rFonts w:ascii="Arial" w:eastAsia="Times New Roman" w:hAnsi="Arial" w:cs="Arial"/>
                <w:b/>
                <w:bCs/>
                <w:color w:val="000000"/>
                <w:sz w:val="20"/>
                <w:szCs w:val="20"/>
                <w:lang w:eastAsia="pt-BR"/>
              </w:rPr>
              <w:lastRenderedPageBreak/>
              <w:t>MOODY'S</w:t>
            </w:r>
          </w:p>
        </w:tc>
        <w:tc>
          <w:tcPr>
            <w:tcW w:w="2835" w:type="dxa"/>
            <w:gridSpan w:val="2"/>
            <w:tcBorders>
              <w:top w:val="single" w:sz="4" w:space="0" w:color="auto"/>
              <w:left w:val="nil"/>
              <w:bottom w:val="nil"/>
              <w:right w:val="nil"/>
            </w:tcBorders>
            <w:shd w:val="clear" w:color="000000" w:fill="A5A5A5"/>
            <w:noWrap/>
            <w:vAlign w:val="center"/>
            <w:hideMark/>
          </w:tcPr>
          <w:p w:rsidR="00CF771B" w:rsidRPr="006C70AF" w:rsidRDefault="00CF771B" w:rsidP="00CF771B">
            <w:pPr>
              <w:spacing w:after="0" w:line="240" w:lineRule="auto"/>
              <w:jc w:val="center"/>
              <w:rPr>
                <w:rFonts w:ascii="Arial" w:eastAsia="Times New Roman" w:hAnsi="Arial" w:cs="Arial"/>
                <w:b/>
                <w:bCs/>
                <w:color w:val="000000"/>
                <w:sz w:val="20"/>
                <w:szCs w:val="20"/>
                <w:lang w:eastAsia="pt-BR"/>
              </w:rPr>
            </w:pPr>
            <w:r w:rsidRPr="006C70AF">
              <w:rPr>
                <w:rFonts w:ascii="Arial" w:eastAsia="Times New Roman" w:hAnsi="Arial" w:cs="Arial"/>
                <w:b/>
                <w:bCs/>
                <w:color w:val="000000"/>
                <w:sz w:val="20"/>
                <w:szCs w:val="20"/>
                <w:lang w:eastAsia="pt-BR"/>
              </w:rPr>
              <w:t>S&amp;P</w:t>
            </w:r>
          </w:p>
        </w:tc>
        <w:tc>
          <w:tcPr>
            <w:tcW w:w="2977" w:type="dxa"/>
            <w:gridSpan w:val="2"/>
            <w:tcBorders>
              <w:top w:val="single" w:sz="4" w:space="0" w:color="auto"/>
              <w:left w:val="nil"/>
              <w:bottom w:val="nil"/>
              <w:right w:val="single" w:sz="4" w:space="0" w:color="000000"/>
            </w:tcBorders>
            <w:shd w:val="clear" w:color="000000" w:fill="A5A5A5"/>
            <w:noWrap/>
            <w:vAlign w:val="center"/>
            <w:hideMark/>
          </w:tcPr>
          <w:p w:rsidR="00CF771B" w:rsidRPr="006C70AF" w:rsidRDefault="00CF771B" w:rsidP="00CF771B">
            <w:pPr>
              <w:spacing w:after="0" w:line="240" w:lineRule="auto"/>
              <w:jc w:val="center"/>
              <w:rPr>
                <w:rFonts w:ascii="Arial" w:eastAsia="Times New Roman" w:hAnsi="Arial" w:cs="Arial"/>
                <w:b/>
                <w:bCs/>
                <w:color w:val="000000"/>
                <w:sz w:val="20"/>
                <w:szCs w:val="20"/>
                <w:lang w:eastAsia="pt-BR"/>
              </w:rPr>
            </w:pPr>
            <w:r w:rsidRPr="006C70AF">
              <w:rPr>
                <w:rFonts w:ascii="Arial" w:eastAsia="Times New Roman" w:hAnsi="Arial" w:cs="Arial"/>
                <w:b/>
                <w:bCs/>
                <w:color w:val="000000"/>
                <w:sz w:val="20"/>
                <w:szCs w:val="20"/>
                <w:lang w:eastAsia="pt-BR"/>
              </w:rPr>
              <w:t>FITCH</w:t>
            </w:r>
          </w:p>
        </w:tc>
        <w:tc>
          <w:tcPr>
            <w:tcW w:w="2508" w:type="dxa"/>
            <w:tcBorders>
              <w:top w:val="nil"/>
              <w:left w:val="nil"/>
              <w:bottom w:val="nil"/>
              <w:right w:val="nil"/>
            </w:tcBorders>
            <w:shd w:val="clear" w:color="auto" w:fill="auto"/>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p>
        </w:tc>
      </w:tr>
      <w:tr w:rsidR="00CF771B" w:rsidRPr="006C70AF" w:rsidTr="00CF771B">
        <w:trPr>
          <w:trHeight w:val="315"/>
          <w:jc w:val="center"/>
        </w:trPr>
        <w:tc>
          <w:tcPr>
            <w:tcW w:w="1565" w:type="dxa"/>
            <w:tcBorders>
              <w:top w:val="nil"/>
              <w:left w:val="single" w:sz="4" w:space="0" w:color="auto"/>
              <w:bottom w:val="nil"/>
              <w:right w:val="nil"/>
            </w:tcBorders>
            <w:shd w:val="clear" w:color="000000" w:fill="A5A5A5"/>
            <w:noWrap/>
            <w:vAlign w:val="center"/>
            <w:hideMark/>
          </w:tcPr>
          <w:p w:rsidR="00CF771B" w:rsidRPr="006C70AF" w:rsidRDefault="00CF771B" w:rsidP="00CF771B">
            <w:pPr>
              <w:spacing w:after="0" w:line="240" w:lineRule="auto"/>
              <w:jc w:val="center"/>
              <w:rPr>
                <w:rFonts w:ascii="Arial" w:eastAsia="Times New Roman" w:hAnsi="Arial" w:cs="Arial"/>
                <w:b/>
                <w:bCs/>
                <w:color w:val="000000"/>
                <w:sz w:val="20"/>
                <w:szCs w:val="20"/>
                <w:lang w:eastAsia="pt-BR"/>
              </w:rPr>
            </w:pPr>
            <w:r w:rsidRPr="006C70AF">
              <w:rPr>
                <w:rFonts w:ascii="Arial" w:eastAsia="Times New Roman" w:hAnsi="Arial" w:cs="Arial"/>
                <w:b/>
                <w:bCs/>
                <w:color w:val="000000"/>
                <w:sz w:val="20"/>
                <w:szCs w:val="20"/>
                <w:lang w:eastAsia="pt-BR"/>
              </w:rPr>
              <w:t>Longo Prazo</w:t>
            </w:r>
          </w:p>
        </w:tc>
        <w:tc>
          <w:tcPr>
            <w:tcW w:w="1323" w:type="dxa"/>
            <w:tcBorders>
              <w:top w:val="nil"/>
              <w:left w:val="nil"/>
              <w:bottom w:val="nil"/>
              <w:right w:val="nil"/>
            </w:tcBorders>
            <w:shd w:val="clear" w:color="000000" w:fill="A5A5A5"/>
            <w:noWrap/>
            <w:vAlign w:val="center"/>
            <w:hideMark/>
          </w:tcPr>
          <w:p w:rsidR="00CF771B" w:rsidRPr="006C70AF" w:rsidRDefault="00CF771B" w:rsidP="00CF771B">
            <w:pPr>
              <w:spacing w:after="0" w:line="240" w:lineRule="auto"/>
              <w:jc w:val="center"/>
              <w:rPr>
                <w:rFonts w:ascii="Arial" w:eastAsia="Times New Roman" w:hAnsi="Arial" w:cs="Arial"/>
                <w:b/>
                <w:bCs/>
                <w:color w:val="000000"/>
                <w:sz w:val="20"/>
                <w:szCs w:val="20"/>
                <w:lang w:eastAsia="pt-BR"/>
              </w:rPr>
            </w:pPr>
            <w:r w:rsidRPr="006C70AF">
              <w:rPr>
                <w:rFonts w:ascii="Arial" w:eastAsia="Times New Roman" w:hAnsi="Arial" w:cs="Arial"/>
                <w:b/>
                <w:bCs/>
                <w:color w:val="000000"/>
                <w:sz w:val="20"/>
                <w:szCs w:val="20"/>
                <w:lang w:eastAsia="pt-BR"/>
              </w:rPr>
              <w:t>Curto Prazo</w:t>
            </w:r>
          </w:p>
        </w:tc>
        <w:tc>
          <w:tcPr>
            <w:tcW w:w="1418" w:type="dxa"/>
            <w:tcBorders>
              <w:top w:val="nil"/>
              <w:left w:val="nil"/>
              <w:bottom w:val="nil"/>
              <w:right w:val="nil"/>
            </w:tcBorders>
            <w:shd w:val="clear" w:color="000000" w:fill="A5A5A5"/>
            <w:noWrap/>
            <w:vAlign w:val="center"/>
            <w:hideMark/>
          </w:tcPr>
          <w:p w:rsidR="00CF771B" w:rsidRPr="006C70AF" w:rsidRDefault="00CF771B" w:rsidP="00CF771B">
            <w:pPr>
              <w:spacing w:after="0" w:line="240" w:lineRule="auto"/>
              <w:jc w:val="center"/>
              <w:rPr>
                <w:rFonts w:ascii="Arial" w:eastAsia="Times New Roman" w:hAnsi="Arial" w:cs="Arial"/>
                <w:b/>
                <w:bCs/>
                <w:color w:val="000000"/>
                <w:sz w:val="20"/>
                <w:szCs w:val="20"/>
                <w:lang w:eastAsia="pt-BR"/>
              </w:rPr>
            </w:pPr>
            <w:r w:rsidRPr="006C70AF">
              <w:rPr>
                <w:rFonts w:ascii="Arial" w:eastAsia="Times New Roman" w:hAnsi="Arial" w:cs="Arial"/>
                <w:b/>
                <w:bCs/>
                <w:color w:val="000000"/>
                <w:sz w:val="20"/>
                <w:szCs w:val="20"/>
                <w:lang w:eastAsia="pt-BR"/>
              </w:rPr>
              <w:t>Longo Prazo</w:t>
            </w:r>
          </w:p>
        </w:tc>
        <w:tc>
          <w:tcPr>
            <w:tcW w:w="1417" w:type="dxa"/>
            <w:tcBorders>
              <w:top w:val="nil"/>
              <w:left w:val="nil"/>
              <w:bottom w:val="nil"/>
              <w:right w:val="nil"/>
            </w:tcBorders>
            <w:shd w:val="clear" w:color="000000" w:fill="A5A5A5"/>
            <w:noWrap/>
            <w:vAlign w:val="center"/>
            <w:hideMark/>
          </w:tcPr>
          <w:p w:rsidR="00CF771B" w:rsidRPr="006C70AF" w:rsidRDefault="00CF771B" w:rsidP="00CF771B">
            <w:pPr>
              <w:spacing w:after="0" w:line="240" w:lineRule="auto"/>
              <w:jc w:val="center"/>
              <w:rPr>
                <w:rFonts w:ascii="Arial" w:eastAsia="Times New Roman" w:hAnsi="Arial" w:cs="Arial"/>
                <w:b/>
                <w:bCs/>
                <w:color w:val="000000"/>
                <w:sz w:val="20"/>
                <w:szCs w:val="20"/>
                <w:lang w:eastAsia="pt-BR"/>
              </w:rPr>
            </w:pPr>
            <w:r w:rsidRPr="006C70AF">
              <w:rPr>
                <w:rFonts w:ascii="Arial" w:eastAsia="Times New Roman" w:hAnsi="Arial" w:cs="Arial"/>
                <w:b/>
                <w:bCs/>
                <w:color w:val="000000"/>
                <w:sz w:val="20"/>
                <w:szCs w:val="20"/>
                <w:lang w:eastAsia="pt-BR"/>
              </w:rPr>
              <w:t>Curto Prazo</w:t>
            </w:r>
          </w:p>
        </w:tc>
        <w:tc>
          <w:tcPr>
            <w:tcW w:w="1509" w:type="dxa"/>
            <w:tcBorders>
              <w:top w:val="nil"/>
              <w:left w:val="nil"/>
              <w:bottom w:val="nil"/>
              <w:right w:val="nil"/>
            </w:tcBorders>
            <w:shd w:val="clear" w:color="000000" w:fill="A5A5A5"/>
            <w:noWrap/>
            <w:vAlign w:val="center"/>
            <w:hideMark/>
          </w:tcPr>
          <w:p w:rsidR="00CF771B" w:rsidRPr="006C70AF" w:rsidRDefault="00CF771B" w:rsidP="00CF771B">
            <w:pPr>
              <w:spacing w:after="0" w:line="240" w:lineRule="auto"/>
              <w:jc w:val="center"/>
              <w:rPr>
                <w:rFonts w:ascii="Arial" w:eastAsia="Times New Roman" w:hAnsi="Arial" w:cs="Arial"/>
                <w:b/>
                <w:bCs/>
                <w:color w:val="000000"/>
                <w:sz w:val="20"/>
                <w:szCs w:val="20"/>
                <w:lang w:eastAsia="pt-BR"/>
              </w:rPr>
            </w:pPr>
            <w:r w:rsidRPr="006C70AF">
              <w:rPr>
                <w:rFonts w:ascii="Arial" w:eastAsia="Times New Roman" w:hAnsi="Arial" w:cs="Arial"/>
                <w:b/>
                <w:bCs/>
                <w:color w:val="000000"/>
                <w:sz w:val="20"/>
                <w:szCs w:val="20"/>
                <w:lang w:eastAsia="pt-BR"/>
              </w:rPr>
              <w:t>Longo Prazo</w:t>
            </w:r>
          </w:p>
        </w:tc>
        <w:tc>
          <w:tcPr>
            <w:tcW w:w="1468" w:type="dxa"/>
            <w:tcBorders>
              <w:top w:val="nil"/>
              <w:left w:val="nil"/>
              <w:bottom w:val="nil"/>
              <w:right w:val="single" w:sz="4" w:space="0" w:color="auto"/>
            </w:tcBorders>
            <w:shd w:val="clear" w:color="000000" w:fill="A5A5A5"/>
            <w:noWrap/>
            <w:vAlign w:val="center"/>
            <w:hideMark/>
          </w:tcPr>
          <w:p w:rsidR="00CF771B" w:rsidRPr="006C70AF" w:rsidRDefault="00CF771B" w:rsidP="00CF771B">
            <w:pPr>
              <w:spacing w:after="0" w:line="240" w:lineRule="auto"/>
              <w:jc w:val="center"/>
              <w:rPr>
                <w:rFonts w:ascii="Arial" w:eastAsia="Times New Roman" w:hAnsi="Arial" w:cs="Arial"/>
                <w:b/>
                <w:bCs/>
                <w:color w:val="000000"/>
                <w:sz w:val="20"/>
                <w:szCs w:val="20"/>
                <w:lang w:eastAsia="pt-BR"/>
              </w:rPr>
            </w:pPr>
            <w:r w:rsidRPr="006C70AF">
              <w:rPr>
                <w:rFonts w:ascii="Arial" w:eastAsia="Times New Roman" w:hAnsi="Arial" w:cs="Arial"/>
                <w:b/>
                <w:bCs/>
                <w:color w:val="000000"/>
                <w:sz w:val="20"/>
                <w:szCs w:val="20"/>
                <w:lang w:eastAsia="pt-BR"/>
              </w:rPr>
              <w:t>Curto Prazo</w:t>
            </w:r>
          </w:p>
        </w:tc>
        <w:tc>
          <w:tcPr>
            <w:tcW w:w="2508" w:type="dxa"/>
            <w:tcBorders>
              <w:top w:val="nil"/>
              <w:left w:val="nil"/>
              <w:bottom w:val="nil"/>
              <w:right w:val="nil"/>
            </w:tcBorders>
            <w:shd w:val="clear" w:color="auto" w:fill="auto"/>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p>
        </w:tc>
      </w:tr>
      <w:tr w:rsidR="00CF771B" w:rsidRPr="006C70AF" w:rsidTr="00CF771B">
        <w:trPr>
          <w:trHeight w:val="315"/>
          <w:jc w:val="center"/>
        </w:trPr>
        <w:tc>
          <w:tcPr>
            <w:tcW w:w="1565" w:type="dxa"/>
            <w:tcBorders>
              <w:top w:val="single" w:sz="8" w:space="0" w:color="FFFFFF"/>
              <w:left w:val="single" w:sz="4" w:space="0" w:color="auto"/>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proofErr w:type="spellStart"/>
            <w:r w:rsidRPr="006C70AF">
              <w:rPr>
                <w:rFonts w:ascii="Arial" w:eastAsia="Times New Roman" w:hAnsi="Arial" w:cs="Arial"/>
                <w:color w:val="000000"/>
                <w:sz w:val="20"/>
                <w:szCs w:val="20"/>
                <w:lang w:eastAsia="pt-BR"/>
              </w:rPr>
              <w:t>Aaa</w:t>
            </w:r>
            <w:proofErr w:type="spellEnd"/>
          </w:p>
        </w:tc>
        <w:tc>
          <w:tcPr>
            <w:tcW w:w="1323" w:type="dxa"/>
            <w:vMerge w:val="restart"/>
            <w:tcBorders>
              <w:top w:val="single" w:sz="8" w:space="0" w:color="FFFFFF"/>
              <w:left w:val="single" w:sz="8" w:space="0" w:color="FFFFFF"/>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P-1</w:t>
            </w:r>
          </w:p>
        </w:tc>
        <w:tc>
          <w:tcPr>
            <w:tcW w:w="1418" w:type="dxa"/>
            <w:tcBorders>
              <w:top w:val="single" w:sz="8" w:space="0" w:color="FFFFFF"/>
              <w:left w:val="nil"/>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AAA</w:t>
            </w:r>
          </w:p>
        </w:tc>
        <w:tc>
          <w:tcPr>
            <w:tcW w:w="1417" w:type="dxa"/>
            <w:vMerge w:val="restart"/>
            <w:tcBorders>
              <w:top w:val="single" w:sz="8" w:space="0" w:color="FFFFFF"/>
              <w:left w:val="nil"/>
              <w:bottom w:val="nil"/>
              <w:right w:val="nil"/>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A-1+</w:t>
            </w:r>
          </w:p>
        </w:tc>
        <w:tc>
          <w:tcPr>
            <w:tcW w:w="1509" w:type="dxa"/>
            <w:tcBorders>
              <w:top w:val="single" w:sz="8" w:space="0" w:color="FFFFFF"/>
              <w:left w:val="single" w:sz="8" w:space="0" w:color="FFFFFF"/>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AAA</w:t>
            </w:r>
          </w:p>
        </w:tc>
        <w:tc>
          <w:tcPr>
            <w:tcW w:w="1468" w:type="dxa"/>
            <w:vMerge w:val="restart"/>
            <w:tcBorders>
              <w:top w:val="single" w:sz="8" w:space="0" w:color="FFFFFF"/>
              <w:left w:val="nil"/>
              <w:bottom w:val="nil"/>
              <w:right w:val="single" w:sz="4" w:space="0" w:color="auto"/>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F1+</w:t>
            </w:r>
          </w:p>
        </w:tc>
        <w:tc>
          <w:tcPr>
            <w:tcW w:w="2508" w:type="dxa"/>
            <w:tcBorders>
              <w:top w:val="single" w:sz="4" w:space="0" w:color="auto"/>
              <w:left w:val="nil"/>
              <w:bottom w:val="nil"/>
              <w:right w:val="single" w:sz="4" w:space="0" w:color="auto"/>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PRIME</w:t>
            </w:r>
          </w:p>
        </w:tc>
      </w:tr>
      <w:tr w:rsidR="00CF771B" w:rsidRPr="006C70AF" w:rsidTr="00CF771B">
        <w:trPr>
          <w:trHeight w:val="300"/>
          <w:jc w:val="center"/>
        </w:trPr>
        <w:tc>
          <w:tcPr>
            <w:tcW w:w="1565" w:type="dxa"/>
            <w:tcBorders>
              <w:top w:val="nil"/>
              <w:left w:val="single" w:sz="4" w:space="0" w:color="auto"/>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Aa1</w:t>
            </w:r>
          </w:p>
        </w:tc>
        <w:tc>
          <w:tcPr>
            <w:tcW w:w="1323" w:type="dxa"/>
            <w:vMerge/>
            <w:tcBorders>
              <w:top w:val="single" w:sz="8" w:space="0" w:color="FFFFFF"/>
              <w:left w:val="single" w:sz="8" w:space="0" w:color="FFFFFF"/>
              <w:bottom w:val="nil"/>
              <w:right w:val="single" w:sz="8" w:space="0" w:color="FFFFFF"/>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1418" w:type="dxa"/>
            <w:tcBorders>
              <w:top w:val="nil"/>
              <w:left w:val="nil"/>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AA+</w:t>
            </w:r>
          </w:p>
        </w:tc>
        <w:tc>
          <w:tcPr>
            <w:tcW w:w="1417" w:type="dxa"/>
            <w:vMerge/>
            <w:tcBorders>
              <w:top w:val="single" w:sz="8" w:space="0" w:color="FFFFFF"/>
              <w:left w:val="nil"/>
              <w:bottom w:val="nil"/>
              <w:right w:val="nil"/>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1509" w:type="dxa"/>
            <w:tcBorders>
              <w:top w:val="nil"/>
              <w:left w:val="single" w:sz="8" w:space="0" w:color="FFFFFF"/>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AA+</w:t>
            </w:r>
          </w:p>
        </w:tc>
        <w:tc>
          <w:tcPr>
            <w:tcW w:w="1468" w:type="dxa"/>
            <w:vMerge/>
            <w:tcBorders>
              <w:top w:val="single" w:sz="8" w:space="0" w:color="FFFFFF"/>
              <w:left w:val="nil"/>
              <w:bottom w:val="nil"/>
              <w:right w:val="single" w:sz="4" w:space="0" w:color="auto"/>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2508" w:type="dxa"/>
            <w:vMerge w:val="restart"/>
            <w:tcBorders>
              <w:top w:val="single" w:sz="8" w:space="0" w:color="FFFFFF"/>
              <w:left w:val="single" w:sz="4" w:space="0" w:color="auto"/>
              <w:bottom w:val="single" w:sz="8" w:space="0" w:color="FFFFFF"/>
              <w:right w:val="single" w:sz="4" w:space="0" w:color="auto"/>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Grau Elevado</w:t>
            </w:r>
          </w:p>
        </w:tc>
      </w:tr>
      <w:tr w:rsidR="00CF771B" w:rsidRPr="006C70AF" w:rsidTr="00CF771B">
        <w:trPr>
          <w:trHeight w:val="300"/>
          <w:jc w:val="center"/>
        </w:trPr>
        <w:tc>
          <w:tcPr>
            <w:tcW w:w="1565" w:type="dxa"/>
            <w:tcBorders>
              <w:top w:val="nil"/>
              <w:left w:val="single" w:sz="4" w:space="0" w:color="auto"/>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Aa2</w:t>
            </w:r>
          </w:p>
        </w:tc>
        <w:tc>
          <w:tcPr>
            <w:tcW w:w="1323" w:type="dxa"/>
            <w:vMerge/>
            <w:tcBorders>
              <w:top w:val="single" w:sz="8" w:space="0" w:color="FFFFFF"/>
              <w:left w:val="single" w:sz="8" w:space="0" w:color="FFFFFF"/>
              <w:bottom w:val="nil"/>
              <w:right w:val="single" w:sz="8" w:space="0" w:color="FFFFFF"/>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1418" w:type="dxa"/>
            <w:tcBorders>
              <w:top w:val="nil"/>
              <w:left w:val="nil"/>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AA</w:t>
            </w:r>
          </w:p>
        </w:tc>
        <w:tc>
          <w:tcPr>
            <w:tcW w:w="1417" w:type="dxa"/>
            <w:vMerge/>
            <w:tcBorders>
              <w:top w:val="single" w:sz="8" w:space="0" w:color="FFFFFF"/>
              <w:left w:val="nil"/>
              <w:bottom w:val="nil"/>
              <w:right w:val="nil"/>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1509" w:type="dxa"/>
            <w:tcBorders>
              <w:top w:val="nil"/>
              <w:left w:val="single" w:sz="8" w:space="0" w:color="FFFFFF"/>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AA</w:t>
            </w:r>
          </w:p>
        </w:tc>
        <w:tc>
          <w:tcPr>
            <w:tcW w:w="1468" w:type="dxa"/>
            <w:vMerge/>
            <w:tcBorders>
              <w:top w:val="single" w:sz="8" w:space="0" w:color="FFFFFF"/>
              <w:left w:val="nil"/>
              <w:bottom w:val="nil"/>
              <w:right w:val="single" w:sz="4" w:space="0" w:color="auto"/>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2508" w:type="dxa"/>
            <w:vMerge/>
            <w:tcBorders>
              <w:top w:val="single" w:sz="8" w:space="0" w:color="FFFFFF"/>
              <w:left w:val="single" w:sz="4" w:space="0" w:color="auto"/>
              <w:bottom w:val="single" w:sz="8" w:space="0" w:color="FFFFFF"/>
              <w:right w:val="single" w:sz="4" w:space="0" w:color="auto"/>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r>
      <w:tr w:rsidR="00CF771B" w:rsidRPr="006C70AF" w:rsidTr="00CF771B">
        <w:trPr>
          <w:trHeight w:val="315"/>
          <w:jc w:val="center"/>
        </w:trPr>
        <w:tc>
          <w:tcPr>
            <w:tcW w:w="1565" w:type="dxa"/>
            <w:tcBorders>
              <w:top w:val="nil"/>
              <w:left w:val="single" w:sz="4" w:space="0" w:color="auto"/>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Aa3</w:t>
            </w:r>
          </w:p>
        </w:tc>
        <w:tc>
          <w:tcPr>
            <w:tcW w:w="1323" w:type="dxa"/>
            <w:vMerge/>
            <w:tcBorders>
              <w:top w:val="single" w:sz="8" w:space="0" w:color="FFFFFF"/>
              <w:left w:val="single" w:sz="8" w:space="0" w:color="FFFFFF"/>
              <w:bottom w:val="nil"/>
              <w:right w:val="single" w:sz="8" w:space="0" w:color="FFFFFF"/>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1418" w:type="dxa"/>
            <w:tcBorders>
              <w:top w:val="nil"/>
              <w:left w:val="nil"/>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AA-</w:t>
            </w:r>
          </w:p>
        </w:tc>
        <w:tc>
          <w:tcPr>
            <w:tcW w:w="1417" w:type="dxa"/>
            <w:vMerge/>
            <w:tcBorders>
              <w:top w:val="single" w:sz="8" w:space="0" w:color="FFFFFF"/>
              <w:left w:val="nil"/>
              <w:bottom w:val="nil"/>
              <w:right w:val="nil"/>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1509" w:type="dxa"/>
            <w:tcBorders>
              <w:top w:val="nil"/>
              <w:left w:val="single" w:sz="8" w:space="0" w:color="FFFFFF"/>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AA-</w:t>
            </w:r>
          </w:p>
        </w:tc>
        <w:tc>
          <w:tcPr>
            <w:tcW w:w="1468" w:type="dxa"/>
            <w:vMerge/>
            <w:tcBorders>
              <w:top w:val="single" w:sz="8" w:space="0" w:color="FFFFFF"/>
              <w:left w:val="nil"/>
              <w:bottom w:val="nil"/>
              <w:right w:val="single" w:sz="4" w:space="0" w:color="auto"/>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2508" w:type="dxa"/>
            <w:vMerge/>
            <w:tcBorders>
              <w:top w:val="single" w:sz="8" w:space="0" w:color="FFFFFF"/>
              <w:left w:val="single" w:sz="4" w:space="0" w:color="auto"/>
              <w:bottom w:val="single" w:sz="8" w:space="0" w:color="FFFFFF"/>
              <w:right w:val="single" w:sz="4" w:space="0" w:color="auto"/>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r>
      <w:tr w:rsidR="00CF771B" w:rsidRPr="006C70AF" w:rsidTr="00CF771B">
        <w:trPr>
          <w:trHeight w:val="300"/>
          <w:jc w:val="center"/>
        </w:trPr>
        <w:tc>
          <w:tcPr>
            <w:tcW w:w="1565" w:type="dxa"/>
            <w:tcBorders>
              <w:top w:val="nil"/>
              <w:left w:val="single" w:sz="4" w:space="0" w:color="auto"/>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A1</w:t>
            </w:r>
          </w:p>
        </w:tc>
        <w:tc>
          <w:tcPr>
            <w:tcW w:w="1323" w:type="dxa"/>
            <w:vMerge/>
            <w:tcBorders>
              <w:top w:val="single" w:sz="8" w:space="0" w:color="FFFFFF"/>
              <w:left w:val="single" w:sz="8" w:space="0" w:color="FFFFFF"/>
              <w:bottom w:val="nil"/>
              <w:right w:val="single" w:sz="8" w:space="0" w:color="FFFFFF"/>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1418" w:type="dxa"/>
            <w:tcBorders>
              <w:top w:val="nil"/>
              <w:left w:val="nil"/>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w:t>
            </w:r>
          </w:p>
        </w:tc>
        <w:tc>
          <w:tcPr>
            <w:tcW w:w="1417" w:type="dxa"/>
            <w:vMerge w:val="restart"/>
            <w:tcBorders>
              <w:top w:val="single" w:sz="8" w:space="0" w:color="FFFFFF"/>
              <w:left w:val="single" w:sz="8" w:space="0" w:color="FFFFFF"/>
              <w:bottom w:val="single" w:sz="8" w:space="0" w:color="FFFFFF"/>
              <w:right w:val="nil"/>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A-1</w:t>
            </w:r>
          </w:p>
        </w:tc>
        <w:tc>
          <w:tcPr>
            <w:tcW w:w="1509" w:type="dxa"/>
            <w:tcBorders>
              <w:top w:val="nil"/>
              <w:left w:val="single" w:sz="8" w:space="0" w:color="FFFFFF"/>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w:t>
            </w:r>
          </w:p>
        </w:tc>
        <w:tc>
          <w:tcPr>
            <w:tcW w:w="1468" w:type="dxa"/>
            <w:vMerge w:val="restart"/>
            <w:tcBorders>
              <w:top w:val="single" w:sz="8" w:space="0" w:color="FFFFFF"/>
              <w:left w:val="single" w:sz="8" w:space="0" w:color="FFFFFF"/>
              <w:bottom w:val="single" w:sz="8" w:space="0" w:color="FFFFFF"/>
              <w:right w:val="single" w:sz="4" w:space="0" w:color="auto"/>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F1</w:t>
            </w:r>
          </w:p>
        </w:tc>
        <w:tc>
          <w:tcPr>
            <w:tcW w:w="2508" w:type="dxa"/>
            <w:vMerge w:val="restart"/>
            <w:tcBorders>
              <w:top w:val="nil"/>
              <w:left w:val="single" w:sz="4" w:space="0" w:color="auto"/>
              <w:bottom w:val="single" w:sz="4" w:space="0" w:color="000000"/>
              <w:right w:val="single" w:sz="4" w:space="0" w:color="auto"/>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Grau Médio Elevado</w:t>
            </w:r>
          </w:p>
        </w:tc>
      </w:tr>
      <w:tr w:rsidR="00CF771B" w:rsidRPr="006C70AF" w:rsidTr="00CF771B">
        <w:trPr>
          <w:trHeight w:val="315"/>
          <w:jc w:val="center"/>
        </w:trPr>
        <w:tc>
          <w:tcPr>
            <w:tcW w:w="1565" w:type="dxa"/>
            <w:tcBorders>
              <w:top w:val="nil"/>
              <w:left w:val="single" w:sz="4" w:space="0" w:color="auto"/>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A2</w:t>
            </w:r>
          </w:p>
        </w:tc>
        <w:tc>
          <w:tcPr>
            <w:tcW w:w="1323" w:type="dxa"/>
            <w:vMerge/>
            <w:tcBorders>
              <w:top w:val="single" w:sz="8" w:space="0" w:color="FFFFFF"/>
              <w:left w:val="single" w:sz="8" w:space="0" w:color="FFFFFF"/>
              <w:bottom w:val="nil"/>
              <w:right w:val="single" w:sz="8" w:space="0" w:color="FFFFFF"/>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1418" w:type="dxa"/>
            <w:tcBorders>
              <w:top w:val="nil"/>
              <w:left w:val="nil"/>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w:t>
            </w:r>
          </w:p>
        </w:tc>
        <w:tc>
          <w:tcPr>
            <w:tcW w:w="1417" w:type="dxa"/>
            <w:vMerge/>
            <w:tcBorders>
              <w:top w:val="single" w:sz="8" w:space="0" w:color="FFFFFF"/>
              <w:left w:val="single" w:sz="8" w:space="0" w:color="FFFFFF"/>
              <w:bottom w:val="single" w:sz="8" w:space="0" w:color="FFFFFF"/>
              <w:right w:val="nil"/>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1509" w:type="dxa"/>
            <w:tcBorders>
              <w:top w:val="nil"/>
              <w:left w:val="single" w:sz="8" w:space="0" w:color="FFFFFF"/>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w:t>
            </w:r>
          </w:p>
        </w:tc>
        <w:tc>
          <w:tcPr>
            <w:tcW w:w="1468" w:type="dxa"/>
            <w:vMerge/>
            <w:tcBorders>
              <w:top w:val="single" w:sz="8" w:space="0" w:color="FFFFFF"/>
              <w:left w:val="single" w:sz="8" w:space="0" w:color="FFFFFF"/>
              <w:bottom w:val="single" w:sz="8" w:space="0" w:color="FFFFFF"/>
              <w:right w:val="single" w:sz="4" w:space="0" w:color="auto"/>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2508" w:type="dxa"/>
            <w:vMerge/>
            <w:tcBorders>
              <w:top w:val="nil"/>
              <w:left w:val="single" w:sz="4" w:space="0" w:color="auto"/>
              <w:bottom w:val="single" w:sz="4" w:space="0" w:color="000000"/>
              <w:right w:val="single" w:sz="4" w:space="0" w:color="auto"/>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r>
      <w:tr w:rsidR="00CF771B" w:rsidRPr="006C70AF" w:rsidTr="00CF771B">
        <w:trPr>
          <w:trHeight w:val="300"/>
          <w:jc w:val="center"/>
        </w:trPr>
        <w:tc>
          <w:tcPr>
            <w:tcW w:w="1565" w:type="dxa"/>
            <w:tcBorders>
              <w:top w:val="nil"/>
              <w:left w:val="single" w:sz="4" w:space="0" w:color="auto"/>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A3</w:t>
            </w:r>
          </w:p>
        </w:tc>
        <w:tc>
          <w:tcPr>
            <w:tcW w:w="1323" w:type="dxa"/>
            <w:vMerge w:val="restart"/>
            <w:tcBorders>
              <w:top w:val="single" w:sz="8" w:space="0" w:color="FFFFFF"/>
              <w:left w:val="single" w:sz="8" w:space="0" w:color="FFFFFF"/>
              <w:bottom w:val="single" w:sz="4" w:space="0" w:color="000000"/>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P-2</w:t>
            </w:r>
          </w:p>
        </w:tc>
        <w:tc>
          <w:tcPr>
            <w:tcW w:w="1418" w:type="dxa"/>
            <w:tcBorders>
              <w:top w:val="nil"/>
              <w:left w:val="nil"/>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w:t>
            </w:r>
          </w:p>
        </w:tc>
        <w:tc>
          <w:tcPr>
            <w:tcW w:w="1417" w:type="dxa"/>
            <w:vMerge w:val="restart"/>
            <w:tcBorders>
              <w:top w:val="nil"/>
              <w:left w:val="nil"/>
              <w:bottom w:val="single" w:sz="4" w:space="0" w:color="000000"/>
              <w:right w:val="nil"/>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A-2</w:t>
            </w:r>
          </w:p>
        </w:tc>
        <w:tc>
          <w:tcPr>
            <w:tcW w:w="1509" w:type="dxa"/>
            <w:tcBorders>
              <w:top w:val="nil"/>
              <w:left w:val="single" w:sz="8" w:space="0" w:color="FFFFFF"/>
              <w:bottom w:val="nil"/>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A-</w:t>
            </w:r>
          </w:p>
        </w:tc>
        <w:tc>
          <w:tcPr>
            <w:tcW w:w="1468" w:type="dxa"/>
            <w:vMerge w:val="restart"/>
            <w:tcBorders>
              <w:top w:val="nil"/>
              <w:left w:val="nil"/>
              <w:bottom w:val="single" w:sz="4" w:space="0" w:color="000000"/>
              <w:right w:val="single" w:sz="4" w:space="0" w:color="auto"/>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F2</w:t>
            </w:r>
          </w:p>
        </w:tc>
        <w:tc>
          <w:tcPr>
            <w:tcW w:w="2508" w:type="dxa"/>
            <w:vMerge/>
            <w:tcBorders>
              <w:top w:val="nil"/>
              <w:left w:val="single" w:sz="4" w:space="0" w:color="auto"/>
              <w:bottom w:val="single" w:sz="4" w:space="0" w:color="000000"/>
              <w:right w:val="single" w:sz="4" w:space="0" w:color="auto"/>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r>
      <w:tr w:rsidR="00CF771B" w:rsidRPr="006C70AF" w:rsidTr="00CF771B">
        <w:trPr>
          <w:trHeight w:val="300"/>
          <w:jc w:val="center"/>
        </w:trPr>
        <w:tc>
          <w:tcPr>
            <w:tcW w:w="1565" w:type="dxa"/>
            <w:tcBorders>
              <w:top w:val="nil"/>
              <w:left w:val="single" w:sz="4" w:space="0" w:color="auto"/>
              <w:bottom w:val="single" w:sz="4" w:space="0" w:color="auto"/>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Baa1</w:t>
            </w:r>
          </w:p>
        </w:tc>
        <w:tc>
          <w:tcPr>
            <w:tcW w:w="1323" w:type="dxa"/>
            <w:vMerge/>
            <w:tcBorders>
              <w:top w:val="single" w:sz="8" w:space="0" w:color="FFFFFF"/>
              <w:left w:val="single" w:sz="8" w:space="0" w:color="FFFFFF"/>
              <w:bottom w:val="single" w:sz="4" w:space="0" w:color="000000"/>
              <w:right w:val="single" w:sz="8" w:space="0" w:color="FFFFFF"/>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1418" w:type="dxa"/>
            <w:tcBorders>
              <w:top w:val="nil"/>
              <w:left w:val="nil"/>
              <w:bottom w:val="single" w:sz="4" w:space="0" w:color="auto"/>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BBB+</w:t>
            </w:r>
          </w:p>
        </w:tc>
        <w:tc>
          <w:tcPr>
            <w:tcW w:w="1417" w:type="dxa"/>
            <w:vMerge/>
            <w:tcBorders>
              <w:top w:val="nil"/>
              <w:left w:val="nil"/>
              <w:bottom w:val="single" w:sz="4" w:space="0" w:color="000000"/>
              <w:right w:val="nil"/>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1509" w:type="dxa"/>
            <w:tcBorders>
              <w:top w:val="nil"/>
              <w:left w:val="single" w:sz="8" w:space="0" w:color="FFFFFF"/>
              <w:bottom w:val="single" w:sz="4" w:space="0" w:color="auto"/>
              <w:right w:val="single" w:sz="8" w:space="0" w:color="FFFFFF"/>
            </w:tcBorders>
            <w:shd w:val="clear" w:color="000000" w:fill="D8D8D8"/>
            <w:noWrap/>
            <w:vAlign w:val="center"/>
            <w:hideMark/>
          </w:tcPr>
          <w:p w:rsidR="00CF771B" w:rsidRPr="006C70AF" w:rsidRDefault="00CF771B" w:rsidP="00CF771B">
            <w:pPr>
              <w:spacing w:after="0" w:line="240" w:lineRule="auto"/>
              <w:jc w:val="center"/>
              <w:rPr>
                <w:rFonts w:ascii="Arial" w:eastAsia="Times New Roman" w:hAnsi="Arial" w:cs="Arial"/>
                <w:color w:val="000000"/>
                <w:sz w:val="20"/>
                <w:szCs w:val="20"/>
                <w:lang w:eastAsia="pt-BR"/>
              </w:rPr>
            </w:pPr>
            <w:r w:rsidRPr="006C70AF">
              <w:rPr>
                <w:rFonts w:ascii="Arial" w:eastAsia="Times New Roman" w:hAnsi="Arial" w:cs="Arial"/>
                <w:color w:val="000000"/>
                <w:sz w:val="20"/>
                <w:szCs w:val="20"/>
                <w:lang w:eastAsia="pt-BR"/>
              </w:rPr>
              <w:t>BBB+</w:t>
            </w:r>
          </w:p>
        </w:tc>
        <w:tc>
          <w:tcPr>
            <w:tcW w:w="1468" w:type="dxa"/>
            <w:vMerge/>
            <w:tcBorders>
              <w:top w:val="nil"/>
              <w:left w:val="nil"/>
              <w:bottom w:val="single" w:sz="4" w:space="0" w:color="000000"/>
              <w:right w:val="single" w:sz="4" w:space="0" w:color="auto"/>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c>
          <w:tcPr>
            <w:tcW w:w="2508" w:type="dxa"/>
            <w:vMerge/>
            <w:tcBorders>
              <w:top w:val="nil"/>
              <w:left w:val="single" w:sz="4" w:space="0" w:color="auto"/>
              <w:bottom w:val="single" w:sz="4" w:space="0" w:color="000000"/>
              <w:right w:val="single" w:sz="4" w:space="0" w:color="auto"/>
            </w:tcBorders>
            <w:vAlign w:val="center"/>
            <w:hideMark/>
          </w:tcPr>
          <w:p w:rsidR="00CF771B" w:rsidRPr="006C70AF" w:rsidRDefault="00CF771B" w:rsidP="00CF771B">
            <w:pPr>
              <w:spacing w:after="0" w:line="240" w:lineRule="auto"/>
              <w:rPr>
                <w:rFonts w:ascii="Arial" w:eastAsia="Times New Roman" w:hAnsi="Arial" w:cs="Arial"/>
                <w:color w:val="000000"/>
                <w:sz w:val="20"/>
                <w:szCs w:val="20"/>
                <w:lang w:eastAsia="pt-BR"/>
              </w:rPr>
            </w:pPr>
          </w:p>
        </w:tc>
      </w:tr>
    </w:tbl>
    <w:p w:rsidR="00CF771B" w:rsidRDefault="00CF771B" w:rsidP="00CF771B">
      <w:pPr>
        <w:keepLines/>
        <w:autoSpaceDE w:val="0"/>
        <w:autoSpaceDN w:val="0"/>
        <w:adjustRightInd w:val="0"/>
        <w:spacing w:line="360" w:lineRule="auto"/>
        <w:ind w:firstLine="708"/>
        <w:jc w:val="both"/>
        <w:rPr>
          <w:rFonts w:ascii="Arial" w:hAnsi="Arial" w:cs="Arial"/>
        </w:rPr>
      </w:pPr>
    </w:p>
    <w:p w:rsidR="00CF771B" w:rsidRPr="004E6454" w:rsidRDefault="00CF771B" w:rsidP="00CF771B">
      <w:pPr>
        <w:keepLines/>
        <w:autoSpaceDE w:val="0"/>
        <w:autoSpaceDN w:val="0"/>
        <w:adjustRightInd w:val="0"/>
        <w:spacing w:line="360" w:lineRule="auto"/>
        <w:ind w:firstLine="708"/>
        <w:jc w:val="both"/>
        <w:rPr>
          <w:rFonts w:ascii="Arial" w:hAnsi="Arial" w:cs="Arial"/>
        </w:rPr>
      </w:pPr>
      <w:r w:rsidRPr="004E6454">
        <w:rPr>
          <w:rFonts w:ascii="Arial" w:hAnsi="Arial" w:cs="Arial"/>
        </w:rPr>
        <w:t>Os investimentos em cotas de fundos de investimento classificados como renda</w:t>
      </w:r>
      <w:r w:rsidR="005D4104">
        <w:rPr>
          <w:rFonts w:ascii="Arial" w:hAnsi="Arial" w:cs="Arial"/>
        </w:rPr>
        <w:t>,</w:t>
      </w:r>
      <w:r w:rsidRPr="004E6454">
        <w:rPr>
          <w:rFonts w:ascii="Arial" w:hAnsi="Arial" w:cs="Arial"/>
          <w:color w:val="FF0000"/>
        </w:rPr>
        <w:t xml:space="preserve"> </w:t>
      </w:r>
      <w:r w:rsidRPr="004E6454">
        <w:rPr>
          <w:rFonts w:ascii="Arial" w:hAnsi="Arial" w:cs="Arial"/>
        </w:rPr>
        <w:t xml:space="preserve">conforme regulamentação estabelecida pela CVM, constituídos sob a forma de condomínio aberto, que apliquem seus recursos exclusivamente em títulos definidos </w:t>
      </w:r>
      <w:r w:rsidR="005D4104">
        <w:rPr>
          <w:rFonts w:ascii="Arial" w:hAnsi="Arial" w:cs="Arial"/>
        </w:rPr>
        <w:t>n</w:t>
      </w:r>
      <w:r w:rsidRPr="004E6454">
        <w:rPr>
          <w:rFonts w:ascii="Arial" w:hAnsi="Arial" w:cs="Arial"/>
        </w:rPr>
        <w:t xml:space="preserve">a alínea “a”, ou compromissadas lastreadas nesses títulos, e cuja política de investimento assegure que o patrimônio líquido esteja investido em ativos que acompanham o índice de renda </w:t>
      </w:r>
      <w:proofErr w:type="gramStart"/>
      <w:r w:rsidRPr="004E6454">
        <w:rPr>
          <w:rFonts w:ascii="Arial" w:hAnsi="Arial" w:cs="Arial"/>
        </w:rPr>
        <w:t>fixa não atrelado</w:t>
      </w:r>
      <w:proofErr w:type="gramEnd"/>
      <w:r w:rsidRPr="004E6454">
        <w:rPr>
          <w:rFonts w:ascii="Arial" w:hAnsi="Arial" w:cs="Arial"/>
        </w:rPr>
        <w:t xml:space="preserve"> a títulos públicos (fundo de renda fixa) e cotas de fundos de investimento em índice de mercado de renda fixa negociáveis em bolsa de valores, cuja carteira seja composta exclusivamente por títulos públicos (fundo de índice de renda fixa), caracterizam o Art. 7º inciso I.</w:t>
      </w:r>
    </w:p>
    <w:p w:rsidR="00CF771B" w:rsidRPr="00EA0229" w:rsidRDefault="00CF771B" w:rsidP="00CF771B">
      <w:pPr>
        <w:keepLines/>
        <w:widowControl w:val="0"/>
        <w:tabs>
          <w:tab w:val="left" w:pos="0"/>
        </w:tabs>
        <w:spacing w:before="60" w:after="60" w:line="360" w:lineRule="auto"/>
        <w:ind w:firstLine="709"/>
        <w:jc w:val="both"/>
        <w:rPr>
          <w:rFonts w:ascii="Arial" w:hAnsi="Arial" w:cs="Arial"/>
          <w:szCs w:val="24"/>
        </w:rPr>
      </w:pPr>
      <w:r w:rsidRPr="004E6454">
        <w:rPr>
          <w:rFonts w:ascii="Arial" w:hAnsi="Arial" w:cs="Arial"/>
          <w:color w:val="000000"/>
          <w:szCs w:val="24"/>
        </w:rPr>
        <w:t>Aplicações previstas no art. 7º incisos III e IV e alínea “b” do inciso VII deverão determinar nos regulamentos dos fundos que os</w:t>
      </w:r>
      <w:r w:rsidRPr="004E6454">
        <w:rPr>
          <w:rFonts w:ascii="Arial" w:hAnsi="Arial" w:cs="Arial"/>
          <w:szCs w:val="24"/>
        </w:rPr>
        <w:t xml:space="preserve"> direitos, títulos e valores mobiliários que compõem suas carteiras ou os respectivos emissores sejam considerados de baixo risco de crédito, com base, dentre outros critérios, em classificação efetuada por agência classificadora de risco em funcionamento no País e que o limite máximo de concentração em uma mesma pessoa jurídica, de sua controladora, de entidade por ela direta ou indiretamente controlada e de coligada ou quaisquer outras sociedades </w:t>
      </w:r>
      <w:proofErr w:type="gramStart"/>
      <w:r w:rsidRPr="00EA0229">
        <w:rPr>
          <w:rFonts w:ascii="Arial" w:hAnsi="Arial" w:cs="Arial"/>
          <w:szCs w:val="24"/>
        </w:rPr>
        <w:t>sob controle</w:t>
      </w:r>
      <w:proofErr w:type="gramEnd"/>
      <w:r w:rsidRPr="00EA0229">
        <w:rPr>
          <w:rFonts w:ascii="Arial" w:hAnsi="Arial" w:cs="Arial"/>
          <w:szCs w:val="24"/>
        </w:rPr>
        <w:t xml:space="preserve"> comum seja de 20% (vinte por cento).</w:t>
      </w:r>
    </w:p>
    <w:p w:rsidR="00CF771B" w:rsidRPr="00EA0229" w:rsidRDefault="00CF771B" w:rsidP="00CF771B">
      <w:pPr>
        <w:keepLines/>
        <w:widowControl w:val="0"/>
        <w:tabs>
          <w:tab w:val="left" w:pos="0"/>
        </w:tabs>
        <w:spacing w:before="60" w:after="60" w:line="360" w:lineRule="auto"/>
        <w:ind w:firstLine="709"/>
        <w:jc w:val="both"/>
        <w:rPr>
          <w:rFonts w:ascii="Arial" w:hAnsi="Arial" w:cs="Arial"/>
        </w:rPr>
      </w:pPr>
      <w:r w:rsidRPr="00EA0229">
        <w:rPr>
          <w:rFonts w:ascii="Arial" w:hAnsi="Arial" w:cs="Arial"/>
        </w:rPr>
        <w:t xml:space="preserve">Aplicações previstas no inciso VI e alínea “a’ do inciso VII, subordinam-se a que a série ou classe de cotas do fundo seja considerada de baixo risco de crédito e que o limite máximo de concentração em uma mesma pessoa jurídica, de sua controladora, de entidade por ela direta ou indiretamente controlada e de coligada ou quaisquer outras sociedades </w:t>
      </w:r>
      <w:proofErr w:type="gramStart"/>
      <w:r w:rsidRPr="00EA0229">
        <w:rPr>
          <w:rFonts w:ascii="Arial" w:hAnsi="Arial" w:cs="Arial"/>
        </w:rPr>
        <w:t>sob controle</w:t>
      </w:r>
      <w:proofErr w:type="gramEnd"/>
      <w:r w:rsidRPr="00EA0229">
        <w:rPr>
          <w:rFonts w:ascii="Arial" w:hAnsi="Arial" w:cs="Arial"/>
        </w:rPr>
        <w:t xml:space="preserve"> comum seja de 15% (quinze por cento).</w:t>
      </w:r>
    </w:p>
    <w:p w:rsidR="00CF771B" w:rsidRDefault="00CF771B" w:rsidP="00CF771B">
      <w:pPr>
        <w:keepLines/>
        <w:widowControl w:val="0"/>
        <w:tabs>
          <w:tab w:val="left" w:pos="0"/>
        </w:tabs>
        <w:spacing w:before="60" w:after="60" w:line="360" w:lineRule="auto"/>
        <w:ind w:firstLine="709"/>
        <w:rPr>
          <w:rFonts w:ascii="Arial Narrow" w:hAnsi="Arial Narrow" w:cs="Arial"/>
        </w:rPr>
      </w:pPr>
    </w:p>
    <w:p w:rsidR="003F5744" w:rsidRDefault="003F5744" w:rsidP="00CF771B">
      <w:pPr>
        <w:keepLines/>
        <w:widowControl w:val="0"/>
        <w:tabs>
          <w:tab w:val="left" w:pos="0"/>
        </w:tabs>
        <w:spacing w:before="60" w:after="60" w:line="360" w:lineRule="auto"/>
        <w:ind w:firstLine="709"/>
        <w:rPr>
          <w:rFonts w:ascii="Arial Narrow" w:hAnsi="Arial Narrow" w:cs="Arial"/>
        </w:rPr>
      </w:pPr>
    </w:p>
    <w:p w:rsidR="003F5744" w:rsidRPr="007149FA" w:rsidRDefault="003F5744" w:rsidP="00CF771B">
      <w:pPr>
        <w:keepLines/>
        <w:widowControl w:val="0"/>
        <w:tabs>
          <w:tab w:val="left" w:pos="0"/>
        </w:tabs>
        <w:spacing w:before="60" w:after="60" w:line="360" w:lineRule="auto"/>
        <w:ind w:firstLine="709"/>
        <w:rPr>
          <w:rFonts w:ascii="Arial Narrow" w:hAnsi="Arial Narrow" w:cs="Arial"/>
        </w:rPr>
      </w:pPr>
    </w:p>
    <w:p w:rsidR="00CF771B" w:rsidRPr="004E6454" w:rsidRDefault="00CF771B" w:rsidP="00CF771B">
      <w:pPr>
        <w:keepLines/>
        <w:widowControl w:val="0"/>
        <w:tabs>
          <w:tab w:val="left" w:pos="1440"/>
        </w:tabs>
        <w:spacing w:before="60" w:after="60" w:line="360" w:lineRule="auto"/>
        <w:ind w:firstLine="709"/>
        <w:jc w:val="both"/>
        <w:rPr>
          <w:rFonts w:ascii="Arial" w:hAnsi="Arial" w:cs="Arial"/>
        </w:rPr>
      </w:pPr>
      <w:r w:rsidRPr="004E6454">
        <w:rPr>
          <w:rFonts w:ascii="Arial" w:hAnsi="Arial" w:cs="Arial"/>
        </w:rPr>
        <w:lastRenderedPageBreak/>
        <w:t>De forma geral, os fundos de investimento do segmento de renda fixa:</w:t>
      </w:r>
    </w:p>
    <w:p w:rsidR="00CF771B" w:rsidRPr="004E6454" w:rsidRDefault="00CF771B" w:rsidP="00CF771B">
      <w:pPr>
        <w:keepLines/>
        <w:widowControl w:val="0"/>
        <w:numPr>
          <w:ilvl w:val="0"/>
          <w:numId w:val="4"/>
        </w:numPr>
        <w:spacing w:before="60" w:after="60" w:line="360" w:lineRule="auto"/>
        <w:ind w:left="714" w:firstLine="709"/>
        <w:jc w:val="both"/>
        <w:rPr>
          <w:rFonts w:ascii="Arial" w:hAnsi="Arial" w:cs="Arial"/>
        </w:rPr>
      </w:pPr>
      <w:r w:rsidRPr="004E6454">
        <w:rPr>
          <w:rFonts w:ascii="Arial" w:hAnsi="Arial" w:cs="Arial"/>
        </w:rPr>
        <w:t>Não poderão manter em seu patrimônio aplicações em ativos financeiros no exterior, assim definidos pela CVM em regulamentação específica.</w:t>
      </w:r>
    </w:p>
    <w:p w:rsidR="00CF771B" w:rsidRPr="004E6454" w:rsidRDefault="00CF771B" w:rsidP="00CF771B">
      <w:pPr>
        <w:keepLines/>
        <w:widowControl w:val="0"/>
        <w:numPr>
          <w:ilvl w:val="0"/>
          <w:numId w:val="4"/>
        </w:numPr>
        <w:spacing w:before="60" w:after="60" w:line="360" w:lineRule="auto"/>
        <w:ind w:firstLine="709"/>
        <w:jc w:val="both"/>
        <w:rPr>
          <w:rFonts w:ascii="Arial" w:hAnsi="Arial" w:cs="Arial"/>
        </w:rPr>
      </w:pPr>
      <w:r w:rsidRPr="004E6454">
        <w:rPr>
          <w:rFonts w:ascii="Arial" w:hAnsi="Arial" w:cs="Arial"/>
        </w:rPr>
        <w:t>Os ativos financeiros de emissores privados que integrem as carteiras dos fundos de investimento deste artigo devem:</w:t>
      </w:r>
    </w:p>
    <w:p w:rsidR="00CF771B" w:rsidRPr="004E6454" w:rsidRDefault="00CF771B" w:rsidP="00CF771B">
      <w:pPr>
        <w:keepLines/>
        <w:widowControl w:val="0"/>
        <w:numPr>
          <w:ilvl w:val="0"/>
          <w:numId w:val="5"/>
        </w:numPr>
        <w:spacing w:before="60" w:after="60" w:line="360" w:lineRule="auto"/>
        <w:ind w:firstLine="709"/>
        <w:jc w:val="both"/>
        <w:rPr>
          <w:rFonts w:ascii="Arial" w:hAnsi="Arial" w:cs="Arial"/>
        </w:rPr>
      </w:pPr>
      <w:r w:rsidRPr="004E6454">
        <w:rPr>
          <w:rFonts w:ascii="Arial" w:hAnsi="Arial" w:cs="Arial"/>
        </w:rPr>
        <w:t xml:space="preserve">Ser emitidos por instituição financeira </w:t>
      </w:r>
      <w:proofErr w:type="gramStart"/>
      <w:r w:rsidRPr="004E6454">
        <w:rPr>
          <w:rFonts w:ascii="Arial" w:hAnsi="Arial" w:cs="Arial"/>
          <w:color w:val="000000" w:themeColor="text1"/>
        </w:rPr>
        <w:t>bancárias</w:t>
      </w:r>
      <w:r w:rsidRPr="004E6454">
        <w:rPr>
          <w:rFonts w:ascii="Arial" w:hAnsi="Arial" w:cs="Arial"/>
          <w:color w:val="FF0000"/>
        </w:rPr>
        <w:t xml:space="preserve"> </w:t>
      </w:r>
      <w:r w:rsidRPr="004E6454">
        <w:rPr>
          <w:rFonts w:ascii="Arial" w:hAnsi="Arial" w:cs="Arial"/>
        </w:rPr>
        <w:t>autorizada a funcionar pelo Banco Central do Brasil</w:t>
      </w:r>
      <w:proofErr w:type="gramEnd"/>
      <w:r w:rsidRPr="004E6454">
        <w:rPr>
          <w:rFonts w:ascii="Arial" w:hAnsi="Arial" w:cs="Arial"/>
        </w:rPr>
        <w:t>;</w:t>
      </w:r>
    </w:p>
    <w:p w:rsidR="00CF771B" w:rsidRPr="004E6454" w:rsidRDefault="00CF771B" w:rsidP="00CF771B">
      <w:pPr>
        <w:keepLines/>
        <w:widowControl w:val="0"/>
        <w:numPr>
          <w:ilvl w:val="0"/>
          <w:numId w:val="5"/>
        </w:numPr>
        <w:spacing w:before="60" w:after="60" w:line="360" w:lineRule="auto"/>
        <w:ind w:firstLine="709"/>
        <w:jc w:val="both"/>
        <w:rPr>
          <w:rFonts w:ascii="Arial" w:hAnsi="Arial" w:cs="Arial"/>
        </w:rPr>
      </w:pPr>
      <w:r w:rsidRPr="004E6454">
        <w:rPr>
          <w:rFonts w:ascii="Arial" w:hAnsi="Arial" w:cs="Arial"/>
        </w:rPr>
        <w:t xml:space="preserve">Ser emitidos por companhias abertas (com ações negociadas na B3), exceto </w:t>
      </w:r>
      <w:proofErr w:type="spellStart"/>
      <w:r w:rsidRPr="004E6454">
        <w:rPr>
          <w:rFonts w:ascii="Arial" w:hAnsi="Arial" w:cs="Arial"/>
        </w:rPr>
        <w:t>securitizadoras</w:t>
      </w:r>
      <w:proofErr w:type="spellEnd"/>
      <w:r w:rsidRPr="004E6454">
        <w:rPr>
          <w:rFonts w:ascii="Arial" w:hAnsi="Arial" w:cs="Arial"/>
        </w:rPr>
        <w:t>, desde que operacionais e registradas na CVM;</w:t>
      </w:r>
    </w:p>
    <w:p w:rsidR="00CF771B" w:rsidRPr="004E6454" w:rsidRDefault="00CF771B" w:rsidP="00CF771B">
      <w:pPr>
        <w:keepLines/>
        <w:widowControl w:val="0"/>
        <w:numPr>
          <w:ilvl w:val="0"/>
          <w:numId w:val="5"/>
        </w:numPr>
        <w:autoSpaceDE w:val="0"/>
        <w:autoSpaceDN w:val="0"/>
        <w:adjustRightInd w:val="0"/>
        <w:spacing w:before="60" w:after="60" w:line="360" w:lineRule="auto"/>
        <w:ind w:firstLine="709"/>
        <w:jc w:val="both"/>
        <w:rPr>
          <w:rFonts w:ascii="Arial" w:hAnsi="Arial" w:cs="Arial"/>
          <w:color w:val="FF0000"/>
        </w:rPr>
      </w:pPr>
      <w:r w:rsidRPr="004E6454">
        <w:rPr>
          <w:rFonts w:ascii="Arial" w:hAnsi="Arial" w:cs="Arial"/>
        </w:rPr>
        <w:t>Ser cotas de classe sênior de fundo de investimento em direitos creditórios - FIDC classificado como de baixo risco de crédito;</w:t>
      </w:r>
    </w:p>
    <w:p w:rsidR="00CF771B" w:rsidRPr="004E6454" w:rsidRDefault="00CF771B" w:rsidP="00CF771B">
      <w:pPr>
        <w:numPr>
          <w:ilvl w:val="0"/>
          <w:numId w:val="5"/>
        </w:numPr>
        <w:autoSpaceDE w:val="0"/>
        <w:autoSpaceDN w:val="0"/>
        <w:adjustRightInd w:val="0"/>
        <w:spacing w:after="0" w:line="360" w:lineRule="auto"/>
        <w:ind w:firstLine="709"/>
        <w:jc w:val="both"/>
        <w:rPr>
          <w:rFonts w:ascii="Arial" w:hAnsi="Arial" w:cs="Arial"/>
          <w:lang w:eastAsia="pt-BR"/>
        </w:rPr>
      </w:pPr>
      <w:r w:rsidRPr="004E6454">
        <w:rPr>
          <w:rFonts w:ascii="Arial" w:hAnsi="Arial" w:cs="Arial"/>
        </w:rPr>
        <w:t>Ser cotas de fundos de investimento cujos ativos</w:t>
      </w:r>
      <w:r w:rsidRPr="004E6454">
        <w:rPr>
          <w:rFonts w:ascii="Arial" w:hAnsi="Arial" w:cs="Arial"/>
          <w:lang w:eastAsia="pt-BR"/>
        </w:rPr>
        <w:t xml:space="preserve"> investidos observem as condições </w:t>
      </w:r>
      <w:proofErr w:type="gramStart"/>
      <w:r w:rsidRPr="004E6454">
        <w:rPr>
          <w:rFonts w:ascii="Arial" w:hAnsi="Arial" w:cs="Arial"/>
          <w:lang w:eastAsia="pt-BR"/>
        </w:rPr>
        <w:t>do itens</w:t>
      </w:r>
      <w:proofErr w:type="gramEnd"/>
      <w:r w:rsidRPr="004E6454">
        <w:rPr>
          <w:rFonts w:ascii="Arial" w:hAnsi="Arial" w:cs="Arial"/>
          <w:lang w:eastAsia="pt-BR"/>
        </w:rPr>
        <w:t xml:space="preserve"> I e II descritos aqui acima.</w:t>
      </w:r>
    </w:p>
    <w:p w:rsidR="00CF771B" w:rsidRDefault="00CF771B" w:rsidP="00CF771B">
      <w:pPr>
        <w:keepLines/>
        <w:widowControl w:val="0"/>
        <w:tabs>
          <w:tab w:val="left" w:pos="0"/>
        </w:tabs>
        <w:spacing w:before="60" w:after="60" w:line="360" w:lineRule="auto"/>
        <w:ind w:firstLine="709"/>
        <w:jc w:val="both"/>
        <w:rPr>
          <w:rFonts w:ascii="Arial" w:hAnsi="Arial" w:cs="Arial"/>
          <w:color w:val="000000"/>
        </w:rPr>
      </w:pPr>
      <w:r w:rsidRPr="004E6454">
        <w:rPr>
          <w:rFonts w:ascii="Arial" w:hAnsi="Arial" w:cs="Arial"/>
          <w:color w:val="000000"/>
        </w:rPr>
        <w:t>Diante do cenário possível para alocação no segmento</w:t>
      </w:r>
      <w:r w:rsidR="00156DEB">
        <w:rPr>
          <w:rFonts w:ascii="Arial" w:hAnsi="Arial" w:cs="Arial"/>
          <w:color w:val="000000"/>
        </w:rPr>
        <w:t>,</w:t>
      </w:r>
      <w:r w:rsidRPr="004E6454">
        <w:rPr>
          <w:rFonts w:ascii="Arial" w:hAnsi="Arial" w:cs="Arial"/>
          <w:color w:val="000000"/>
        </w:rPr>
        <w:t xml:space="preserve"> </w:t>
      </w:r>
      <w:r w:rsidR="00156DEB">
        <w:rPr>
          <w:rFonts w:ascii="Arial" w:hAnsi="Arial" w:cs="Arial"/>
          <w:color w:val="000000"/>
        </w:rPr>
        <w:t xml:space="preserve">a </w:t>
      </w:r>
      <w:r w:rsidRPr="004E6454">
        <w:rPr>
          <w:rFonts w:ascii="Arial" w:hAnsi="Arial" w:cs="Arial"/>
          <w:color w:val="000000"/>
        </w:rPr>
        <w:t>renda fixa tentará buscar um retorno de rentabilida</w:t>
      </w:r>
      <w:r w:rsidR="00B42414">
        <w:rPr>
          <w:rFonts w:ascii="Arial" w:hAnsi="Arial" w:cs="Arial"/>
          <w:color w:val="000000"/>
        </w:rPr>
        <w:t>de equivalente à meta atuarial.</w:t>
      </w:r>
    </w:p>
    <w:p w:rsidR="00CF771B" w:rsidRPr="004E6454" w:rsidRDefault="00CF771B" w:rsidP="00CF771B">
      <w:pPr>
        <w:pStyle w:val="Ttulo2"/>
        <w:spacing w:line="360" w:lineRule="auto"/>
        <w:rPr>
          <w:rFonts w:ascii="Arial" w:hAnsi="Arial" w:cs="Arial"/>
          <w:color w:val="000000" w:themeColor="text1"/>
          <w:sz w:val="22"/>
          <w:szCs w:val="22"/>
        </w:rPr>
      </w:pPr>
      <w:bookmarkStart w:id="21" w:name="_Toc536189703"/>
      <w:bookmarkStart w:id="22" w:name="_Toc20133930"/>
      <w:proofErr w:type="gramStart"/>
      <w:r w:rsidRPr="004E6454">
        <w:rPr>
          <w:rFonts w:ascii="Arial" w:hAnsi="Arial" w:cs="Arial"/>
          <w:color w:val="000000" w:themeColor="text1"/>
          <w:sz w:val="22"/>
          <w:szCs w:val="22"/>
        </w:rPr>
        <w:t>6.2 SEGMENTO</w:t>
      </w:r>
      <w:proofErr w:type="gramEnd"/>
      <w:r w:rsidRPr="004E6454">
        <w:rPr>
          <w:rFonts w:ascii="Arial" w:hAnsi="Arial" w:cs="Arial"/>
          <w:color w:val="000000" w:themeColor="text1"/>
          <w:sz w:val="22"/>
          <w:szCs w:val="22"/>
        </w:rPr>
        <w:t xml:space="preserve"> EM RENDA VARIÁVEL E INVESTIMENTOS ESTRUTURADOS</w:t>
      </w:r>
      <w:bookmarkEnd w:id="21"/>
      <w:bookmarkEnd w:id="22"/>
    </w:p>
    <w:p w:rsidR="00CF771B" w:rsidRPr="004E6454" w:rsidRDefault="00CF771B" w:rsidP="00CF771B">
      <w:pPr>
        <w:spacing w:line="360" w:lineRule="auto"/>
        <w:jc w:val="both"/>
        <w:rPr>
          <w:rFonts w:ascii="Arial" w:hAnsi="Arial" w:cs="Arial"/>
          <w:color w:val="000000" w:themeColor="text1"/>
        </w:rPr>
      </w:pPr>
    </w:p>
    <w:p w:rsidR="00CF771B" w:rsidRPr="004E6454" w:rsidRDefault="00CF771B" w:rsidP="00CF771B">
      <w:pPr>
        <w:spacing w:line="360" w:lineRule="auto"/>
        <w:jc w:val="both"/>
        <w:rPr>
          <w:rFonts w:ascii="Arial" w:hAnsi="Arial" w:cs="Arial"/>
          <w:color w:val="000000" w:themeColor="text1"/>
        </w:rPr>
      </w:pPr>
      <w:r w:rsidRPr="004E6454">
        <w:rPr>
          <w:rFonts w:ascii="Arial" w:hAnsi="Arial" w:cs="Arial"/>
          <w:color w:val="000000" w:themeColor="text1"/>
        </w:rPr>
        <w:t>Para efeito deste segmento, são considerados investimentos estruturados:</w:t>
      </w:r>
    </w:p>
    <w:p w:rsidR="00CF771B" w:rsidRPr="004E6454" w:rsidRDefault="00CF771B" w:rsidP="00CF771B">
      <w:pPr>
        <w:spacing w:line="360" w:lineRule="auto"/>
        <w:jc w:val="both"/>
        <w:rPr>
          <w:rFonts w:ascii="Arial" w:hAnsi="Arial" w:cs="Arial"/>
          <w:color w:val="000000" w:themeColor="text1"/>
        </w:rPr>
      </w:pPr>
      <w:r w:rsidRPr="004E6454">
        <w:rPr>
          <w:rFonts w:ascii="Arial" w:hAnsi="Arial" w:cs="Arial"/>
          <w:color w:val="000000" w:themeColor="text1"/>
        </w:rPr>
        <w:t xml:space="preserve"> I - </w:t>
      </w:r>
      <w:r w:rsidR="00843A2D" w:rsidRPr="004E6454">
        <w:rPr>
          <w:rFonts w:ascii="Arial" w:hAnsi="Arial" w:cs="Arial"/>
          <w:color w:val="000000" w:themeColor="text1"/>
        </w:rPr>
        <w:t>Fundos</w:t>
      </w:r>
      <w:r w:rsidRPr="004E6454">
        <w:rPr>
          <w:rFonts w:ascii="Arial" w:hAnsi="Arial" w:cs="Arial"/>
          <w:color w:val="000000" w:themeColor="text1"/>
        </w:rPr>
        <w:t xml:space="preserve"> de investimento classificados como multimercado;</w:t>
      </w:r>
    </w:p>
    <w:p w:rsidR="00CF771B" w:rsidRPr="004E6454" w:rsidRDefault="00CF771B" w:rsidP="00CF771B">
      <w:pPr>
        <w:spacing w:line="360" w:lineRule="auto"/>
        <w:jc w:val="both"/>
        <w:rPr>
          <w:rFonts w:ascii="Arial" w:hAnsi="Arial" w:cs="Arial"/>
          <w:color w:val="000000" w:themeColor="text1"/>
        </w:rPr>
      </w:pPr>
      <w:r w:rsidRPr="004E6454">
        <w:rPr>
          <w:rFonts w:ascii="Arial" w:hAnsi="Arial" w:cs="Arial"/>
          <w:color w:val="000000" w:themeColor="text1"/>
        </w:rPr>
        <w:t xml:space="preserve"> II - </w:t>
      </w:r>
      <w:r w:rsidR="00843A2D" w:rsidRPr="004E6454">
        <w:rPr>
          <w:rFonts w:ascii="Arial" w:hAnsi="Arial" w:cs="Arial"/>
          <w:color w:val="000000" w:themeColor="text1"/>
        </w:rPr>
        <w:t>Fundos</w:t>
      </w:r>
      <w:r w:rsidRPr="004E6454">
        <w:rPr>
          <w:rFonts w:ascii="Arial" w:hAnsi="Arial" w:cs="Arial"/>
          <w:color w:val="000000" w:themeColor="text1"/>
        </w:rPr>
        <w:t xml:space="preserve"> de investimento em participações (FIP); </w:t>
      </w:r>
      <w:proofErr w:type="gramStart"/>
      <w:r w:rsidRPr="004E6454">
        <w:rPr>
          <w:rFonts w:ascii="Arial" w:hAnsi="Arial" w:cs="Arial"/>
          <w:color w:val="000000" w:themeColor="text1"/>
        </w:rPr>
        <w:t>e</w:t>
      </w:r>
      <w:proofErr w:type="gramEnd"/>
      <w:r w:rsidRPr="004E6454">
        <w:rPr>
          <w:rFonts w:ascii="Arial" w:hAnsi="Arial" w:cs="Arial"/>
          <w:color w:val="000000" w:themeColor="text1"/>
        </w:rPr>
        <w:t xml:space="preserve"> </w:t>
      </w:r>
    </w:p>
    <w:p w:rsidR="00CF771B" w:rsidRPr="004E6454" w:rsidRDefault="00CF771B" w:rsidP="00CF771B">
      <w:pPr>
        <w:spacing w:line="360" w:lineRule="auto"/>
        <w:jc w:val="both"/>
        <w:rPr>
          <w:rFonts w:ascii="Arial" w:hAnsi="Arial" w:cs="Arial"/>
          <w:color w:val="000000" w:themeColor="text1"/>
        </w:rPr>
      </w:pPr>
      <w:r w:rsidRPr="004E6454">
        <w:rPr>
          <w:rFonts w:ascii="Arial" w:hAnsi="Arial" w:cs="Arial"/>
          <w:color w:val="000000" w:themeColor="text1"/>
        </w:rPr>
        <w:t xml:space="preserve">III - </w:t>
      </w:r>
      <w:r w:rsidR="00843A2D">
        <w:rPr>
          <w:rFonts w:ascii="Arial" w:hAnsi="Arial" w:cs="Arial"/>
          <w:color w:val="000000" w:themeColor="text1"/>
        </w:rPr>
        <w:t>F</w:t>
      </w:r>
      <w:r w:rsidRPr="004E6454">
        <w:rPr>
          <w:rFonts w:ascii="Arial" w:hAnsi="Arial" w:cs="Arial"/>
          <w:color w:val="000000" w:themeColor="text1"/>
        </w:rPr>
        <w:t>undos de investimento classificados como “Ações - Mercado de Acesso”.</w:t>
      </w:r>
    </w:p>
    <w:p w:rsidR="00CF771B" w:rsidRPr="004E6454" w:rsidRDefault="00CF771B" w:rsidP="00CF771B">
      <w:pPr>
        <w:spacing w:line="360" w:lineRule="auto"/>
        <w:jc w:val="both"/>
        <w:rPr>
          <w:rFonts w:ascii="Arial" w:hAnsi="Arial" w:cs="Arial"/>
          <w:color w:val="000000" w:themeColor="text1"/>
        </w:rPr>
      </w:pPr>
    </w:p>
    <w:p w:rsidR="00CF771B" w:rsidRPr="004E6454" w:rsidRDefault="00CF771B" w:rsidP="00CF771B">
      <w:pPr>
        <w:widowControl w:val="0"/>
        <w:spacing w:before="200" w:after="60" w:line="360" w:lineRule="auto"/>
        <w:ind w:firstLine="709"/>
        <w:jc w:val="both"/>
        <w:rPr>
          <w:rFonts w:ascii="Arial" w:hAnsi="Arial" w:cs="Arial"/>
          <w:b/>
        </w:rPr>
      </w:pPr>
      <w:r w:rsidRPr="004E6454">
        <w:rPr>
          <w:rFonts w:ascii="Arial" w:hAnsi="Arial" w:cs="Arial"/>
          <w:b/>
        </w:rPr>
        <w:t>Para aplicação em Fundo de Ações as premissas abaixo devem ser seguidas:</w:t>
      </w:r>
    </w:p>
    <w:p w:rsidR="00CF771B" w:rsidRPr="004E6454" w:rsidRDefault="00CF771B" w:rsidP="00CF771B">
      <w:pPr>
        <w:widowControl w:val="0"/>
        <w:tabs>
          <w:tab w:val="left" w:pos="1440"/>
        </w:tabs>
        <w:spacing w:before="60" w:after="60" w:line="360" w:lineRule="auto"/>
        <w:ind w:firstLine="709"/>
        <w:jc w:val="both"/>
        <w:rPr>
          <w:rFonts w:ascii="Arial" w:hAnsi="Arial" w:cs="Arial"/>
        </w:rPr>
      </w:pPr>
    </w:p>
    <w:p w:rsidR="00CF771B" w:rsidRPr="004E6454" w:rsidRDefault="00CF771B" w:rsidP="00CF771B">
      <w:pPr>
        <w:widowControl w:val="0"/>
        <w:tabs>
          <w:tab w:val="left" w:pos="1440"/>
        </w:tabs>
        <w:spacing w:before="60" w:after="60" w:line="360" w:lineRule="auto"/>
        <w:ind w:firstLine="709"/>
        <w:jc w:val="both"/>
        <w:rPr>
          <w:rFonts w:ascii="Arial" w:hAnsi="Arial" w:cs="Arial"/>
        </w:rPr>
      </w:pPr>
      <w:r w:rsidRPr="004E6454">
        <w:rPr>
          <w:rFonts w:ascii="Arial" w:hAnsi="Arial" w:cs="Arial"/>
        </w:rPr>
        <w:t>A Política Anual de Investimentos, para a seleção de fundos de ações no que se refere a risco, basear-se-á em que o administrador ou gestor do fundo em questão utilize</w:t>
      </w:r>
      <w:r w:rsidRPr="004E6454">
        <w:rPr>
          <w:rFonts w:ascii="Arial" w:hAnsi="Arial" w:cs="Arial"/>
          <w:color w:val="FF0000"/>
        </w:rPr>
        <w:t xml:space="preserve"> </w:t>
      </w:r>
      <w:r w:rsidRPr="004E6454">
        <w:rPr>
          <w:rFonts w:ascii="Arial" w:hAnsi="Arial" w:cs="Arial"/>
        </w:rPr>
        <w:t>as seguintes metodologias de forma</w:t>
      </w:r>
      <w:r w:rsidR="008B126C">
        <w:rPr>
          <w:rFonts w:ascii="Arial" w:hAnsi="Arial" w:cs="Arial"/>
        </w:rPr>
        <w:t xml:space="preserve"> cumulativa ou isoladamente:</w:t>
      </w:r>
    </w:p>
    <w:p w:rsidR="00CF771B" w:rsidRPr="004E6454" w:rsidRDefault="00CF771B" w:rsidP="00CF771B">
      <w:pPr>
        <w:widowControl w:val="0"/>
        <w:tabs>
          <w:tab w:val="left" w:pos="1440"/>
        </w:tabs>
        <w:spacing w:before="60" w:after="60" w:line="360" w:lineRule="auto"/>
        <w:ind w:firstLine="709"/>
        <w:jc w:val="both"/>
        <w:rPr>
          <w:rFonts w:ascii="Arial" w:hAnsi="Arial" w:cs="Arial"/>
          <w:color w:val="FFFF00"/>
        </w:rPr>
      </w:pPr>
    </w:p>
    <w:p w:rsidR="00CF771B" w:rsidRPr="004E6454" w:rsidRDefault="00CF771B" w:rsidP="00CF771B">
      <w:pPr>
        <w:widowControl w:val="0"/>
        <w:numPr>
          <w:ilvl w:val="0"/>
          <w:numId w:val="6"/>
        </w:numPr>
        <w:tabs>
          <w:tab w:val="left" w:pos="1440"/>
        </w:tabs>
        <w:spacing w:before="60" w:after="60" w:line="360" w:lineRule="auto"/>
        <w:ind w:firstLine="709"/>
        <w:jc w:val="both"/>
        <w:rPr>
          <w:rFonts w:ascii="Arial" w:hAnsi="Arial" w:cs="Arial"/>
          <w:color w:val="000000"/>
        </w:rPr>
      </w:pPr>
      <w:r w:rsidRPr="004E6454">
        <w:rPr>
          <w:rFonts w:ascii="Arial" w:hAnsi="Arial" w:cs="Arial"/>
          <w:color w:val="000000"/>
        </w:rPr>
        <w:t xml:space="preserve"> </w:t>
      </w:r>
      <w:r w:rsidRPr="004E6454">
        <w:rPr>
          <w:rFonts w:ascii="Arial" w:hAnsi="Arial" w:cs="Arial"/>
          <w:color w:val="000000"/>
        </w:rPr>
        <w:tab/>
      </w:r>
      <w:proofErr w:type="spellStart"/>
      <w:r w:rsidRPr="004E6454">
        <w:rPr>
          <w:rFonts w:ascii="Arial" w:hAnsi="Arial" w:cs="Arial"/>
          <w:color w:val="000000"/>
        </w:rPr>
        <w:t>Value</w:t>
      </w:r>
      <w:proofErr w:type="spellEnd"/>
      <w:r w:rsidRPr="004E6454">
        <w:rPr>
          <w:rFonts w:ascii="Arial" w:hAnsi="Arial" w:cs="Arial"/>
          <w:color w:val="000000"/>
        </w:rPr>
        <w:t xml:space="preserve"> </w:t>
      </w:r>
      <w:proofErr w:type="spellStart"/>
      <w:r w:rsidRPr="004E6454">
        <w:rPr>
          <w:rFonts w:ascii="Arial" w:hAnsi="Arial" w:cs="Arial"/>
          <w:color w:val="000000"/>
        </w:rPr>
        <w:t>at</w:t>
      </w:r>
      <w:proofErr w:type="spellEnd"/>
      <w:r w:rsidRPr="004E6454">
        <w:rPr>
          <w:rFonts w:ascii="Arial" w:hAnsi="Arial" w:cs="Arial"/>
          <w:color w:val="000000"/>
        </w:rPr>
        <w:t xml:space="preserve"> </w:t>
      </w:r>
      <w:proofErr w:type="spellStart"/>
      <w:r w:rsidRPr="004E6454">
        <w:rPr>
          <w:rFonts w:ascii="Arial" w:hAnsi="Arial" w:cs="Arial"/>
          <w:color w:val="000000"/>
        </w:rPr>
        <w:t>Risk</w:t>
      </w:r>
      <w:proofErr w:type="spellEnd"/>
      <w:r w:rsidRPr="004E6454">
        <w:rPr>
          <w:rFonts w:ascii="Arial" w:hAnsi="Arial" w:cs="Arial"/>
          <w:color w:val="000000"/>
        </w:rPr>
        <w:t xml:space="preserve"> (</w:t>
      </w:r>
      <w:proofErr w:type="spellStart"/>
      <w:proofErr w:type="gramStart"/>
      <w:r w:rsidRPr="004E6454">
        <w:rPr>
          <w:rFonts w:ascii="Arial" w:hAnsi="Arial" w:cs="Arial"/>
          <w:color w:val="000000"/>
        </w:rPr>
        <w:t>VaR</w:t>
      </w:r>
      <w:proofErr w:type="spellEnd"/>
      <w:proofErr w:type="gramEnd"/>
      <w:r w:rsidRPr="004E6454">
        <w:rPr>
          <w:rFonts w:ascii="Arial" w:hAnsi="Arial" w:cs="Arial"/>
          <w:color w:val="000000"/>
        </w:rPr>
        <w:t xml:space="preserve">): fornece uma medida da pior perda </w:t>
      </w:r>
      <w:r w:rsidRPr="004E6454">
        <w:rPr>
          <w:rFonts w:ascii="Arial" w:hAnsi="Arial" w:cs="Arial"/>
          <w:color w:val="000000"/>
        </w:rPr>
        <w:lastRenderedPageBreak/>
        <w:t>esperada em ativo ou carteira para um determinado período de tempo e um intervalo de confiança previamente especificado;</w:t>
      </w:r>
    </w:p>
    <w:p w:rsidR="00CF771B" w:rsidRPr="004E6454" w:rsidRDefault="00CF771B" w:rsidP="00CF771B">
      <w:pPr>
        <w:widowControl w:val="0"/>
        <w:tabs>
          <w:tab w:val="left" w:pos="1440"/>
        </w:tabs>
        <w:spacing w:before="60" w:after="60" w:line="360" w:lineRule="auto"/>
        <w:ind w:firstLine="709"/>
        <w:jc w:val="both"/>
        <w:rPr>
          <w:rFonts w:ascii="Arial" w:hAnsi="Arial" w:cs="Arial"/>
          <w:color w:val="000000"/>
        </w:rPr>
      </w:pPr>
    </w:p>
    <w:p w:rsidR="00CF771B" w:rsidRPr="004E6454" w:rsidRDefault="00CF771B" w:rsidP="00CF771B">
      <w:pPr>
        <w:widowControl w:val="0"/>
        <w:numPr>
          <w:ilvl w:val="0"/>
          <w:numId w:val="6"/>
        </w:numPr>
        <w:tabs>
          <w:tab w:val="left" w:pos="1440"/>
        </w:tabs>
        <w:spacing w:before="60" w:after="60" w:line="360" w:lineRule="auto"/>
        <w:ind w:firstLine="709"/>
        <w:jc w:val="both"/>
        <w:rPr>
          <w:rFonts w:ascii="Arial" w:hAnsi="Arial" w:cs="Arial"/>
          <w:color w:val="000000"/>
        </w:rPr>
      </w:pPr>
      <w:r w:rsidRPr="004E6454">
        <w:rPr>
          <w:rFonts w:ascii="Arial" w:hAnsi="Arial" w:cs="Arial"/>
          <w:color w:val="000000"/>
        </w:rPr>
        <w:t xml:space="preserve">  </w:t>
      </w:r>
      <w:r w:rsidRPr="004E6454">
        <w:rPr>
          <w:rFonts w:ascii="Arial" w:hAnsi="Arial" w:cs="Arial"/>
          <w:color w:val="000000"/>
        </w:rPr>
        <w:tab/>
        <w:t xml:space="preserve">Stress </w:t>
      </w:r>
      <w:proofErr w:type="spellStart"/>
      <w:r w:rsidRPr="004E6454">
        <w:rPr>
          <w:rFonts w:ascii="Arial" w:hAnsi="Arial" w:cs="Arial"/>
          <w:color w:val="000000"/>
        </w:rPr>
        <w:t>Testing</w:t>
      </w:r>
      <w:proofErr w:type="spellEnd"/>
      <w:r w:rsidRPr="004E6454">
        <w:rPr>
          <w:rFonts w:ascii="Arial" w:hAnsi="Arial" w:cs="Arial"/>
          <w:color w:val="000000"/>
        </w:rPr>
        <w:t xml:space="preserve">: processo que visa identificar e gerenciar situações que possam causar perdas extraordinárias, com quebra de relações históricas, </w:t>
      </w:r>
      <w:proofErr w:type="gramStart"/>
      <w:r w:rsidRPr="004E6454">
        <w:rPr>
          <w:rFonts w:ascii="Arial" w:hAnsi="Arial" w:cs="Arial"/>
          <w:color w:val="000000"/>
        </w:rPr>
        <w:t>se</w:t>
      </w:r>
      <w:r w:rsidR="00C93961">
        <w:rPr>
          <w:rFonts w:ascii="Arial" w:hAnsi="Arial" w:cs="Arial"/>
          <w:color w:val="000000"/>
        </w:rPr>
        <w:t>jam</w:t>
      </w:r>
      <w:proofErr w:type="gramEnd"/>
      <w:r w:rsidR="00C93961">
        <w:rPr>
          <w:rFonts w:ascii="Arial" w:hAnsi="Arial" w:cs="Arial"/>
          <w:color w:val="000000"/>
        </w:rPr>
        <w:t xml:space="preserve"> temporárias ou permanentes;</w:t>
      </w:r>
    </w:p>
    <w:p w:rsidR="00CF771B" w:rsidRPr="004E6454" w:rsidRDefault="00CF771B" w:rsidP="00CF771B">
      <w:pPr>
        <w:widowControl w:val="0"/>
        <w:tabs>
          <w:tab w:val="left" w:pos="1440"/>
        </w:tabs>
        <w:spacing w:before="60" w:after="60" w:line="360" w:lineRule="auto"/>
        <w:ind w:firstLine="709"/>
        <w:jc w:val="both"/>
        <w:rPr>
          <w:rFonts w:ascii="Arial" w:hAnsi="Arial" w:cs="Arial"/>
        </w:rPr>
      </w:pPr>
    </w:p>
    <w:p w:rsidR="00CF771B" w:rsidRPr="004E6454" w:rsidRDefault="00CF771B" w:rsidP="00CF771B">
      <w:pPr>
        <w:widowControl w:val="0"/>
        <w:numPr>
          <w:ilvl w:val="0"/>
          <w:numId w:val="6"/>
        </w:numPr>
        <w:tabs>
          <w:tab w:val="left" w:pos="1440"/>
        </w:tabs>
        <w:spacing w:before="60" w:after="60" w:line="360" w:lineRule="auto"/>
        <w:ind w:firstLine="709"/>
        <w:jc w:val="both"/>
        <w:rPr>
          <w:rFonts w:ascii="Arial" w:hAnsi="Arial" w:cs="Arial"/>
          <w:color w:val="000000"/>
        </w:rPr>
      </w:pPr>
      <w:r w:rsidRPr="004E6454">
        <w:rPr>
          <w:rFonts w:ascii="Arial" w:hAnsi="Arial" w:cs="Arial"/>
          <w:color w:val="000000"/>
        </w:rPr>
        <w:t xml:space="preserve">  </w:t>
      </w:r>
      <w:r w:rsidRPr="004E6454">
        <w:rPr>
          <w:rFonts w:ascii="Arial" w:hAnsi="Arial" w:cs="Arial"/>
          <w:color w:val="000000"/>
        </w:rPr>
        <w:tab/>
        <w:t>Coeficiente Beta: unidade de medida que através da covariância entre ativos, mede o potencial que cada ativo isoladamente pode amplificar ou mitigar o risco do fundo através da aderência ao benchmark escolhido, avaliando assim o efeito da diversificação do fundo;</w:t>
      </w:r>
    </w:p>
    <w:p w:rsidR="00CF771B" w:rsidRPr="004E6454" w:rsidRDefault="00CF771B" w:rsidP="00CF771B">
      <w:pPr>
        <w:widowControl w:val="0"/>
        <w:tabs>
          <w:tab w:val="left" w:pos="1440"/>
        </w:tabs>
        <w:spacing w:before="60" w:after="60" w:line="360" w:lineRule="auto"/>
        <w:ind w:firstLine="709"/>
        <w:jc w:val="both"/>
        <w:rPr>
          <w:rFonts w:ascii="Arial" w:hAnsi="Arial" w:cs="Arial"/>
          <w:color w:val="000000"/>
        </w:rPr>
      </w:pPr>
    </w:p>
    <w:p w:rsidR="00CF771B" w:rsidRPr="004E6454" w:rsidRDefault="00CF771B" w:rsidP="00CF771B">
      <w:pPr>
        <w:widowControl w:val="0"/>
        <w:numPr>
          <w:ilvl w:val="0"/>
          <w:numId w:val="6"/>
        </w:numPr>
        <w:tabs>
          <w:tab w:val="left" w:pos="1440"/>
        </w:tabs>
        <w:spacing w:before="60" w:after="60" w:line="360" w:lineRule="auto"/>
        <w:ind w:firstLine="709"/>
        <w:jc w:val="both"/>
        <w:rPr>
          <w:rFonts w:ascii="Arial" w:hAnsi="Arial" w:cs="Arial"/>
          <w:color w:val="000000"/>
        </w:rPr>
      </w:pPr>
      <w:r w:rsidRPr="004E6454">
        <w:rPr>
          <w:rFonts w:ascii="Arial" w:hAnsi="Arial" w:cs="Arial"/>
          <w:color w:val="000000"/>
        </w:rPr>
        <w:t xml:space="preserve"> </w:t>
      </w:r>
      <w:r w:rsidRPr="004E6454">
        <w:rPr>
          <w:rFonts w:ascii="Arial" w:hAnsi="Arial" w:cs="Arial"/>
          <w:color w:val="000000"/>
        </w:rPr>
        <w:tab/>
        <w:t>Índice de Sharpe: unidade de medida que através de estudos estatísticos mede a relação risco/retorno do fundo.</w:t>
      </w:r>
    </w:p>
    <w:p w:rsidR="00CF771B" w:rsidRPr="004E6454" w:rsidRDefault="00CF771B" w:rsidP="00CF771B">
      <w:pPr>
        <w:widowControl w:val="0"/>
        <w:tabs>
          <w:tab w:val="left" w:pos="1440"/>
        </w:tabs>
        <w:spacing w:before="60" w:after="60" w:line="360" w:lineRule="auto"/>
        <w:ind w:firstLine="709"/>
        <w:jc w:val="both"/>
        <w:rPr>
          <w:rFonts w:ascii="Arial" w:hAnsi="Arial" w:cs="Arial"/>
          <w:color w:val="000000"/>
        </w:rPr>
      </w:pPr>
    </w:p>
    <w:p w:rsidR="00CF771B" w:rsidRPr="004E6454" w:rsidRDefault="00CF771B" w:rsidP="00CF771B">
      <w:pPr>
        <w:widowControl w:val="0"/>
        <w:tabs>
          <w:tab w:val="left" w:pos="1440"/>
        </w:tabs>
        <w:spacing w:before="60" w:after="60" w:line="360" w:lineRule="auto"/>
        <w:ind w:firstLine="709"/>
        <w:jc w:val="both"/>
        <w:rPr>
          <w:rFonts w:ascii="Arial" w:hAnsi="Arial" w:cs="Arial"/>
        </w:rPr>
      </w:pPr>
      <w:r w:rsidRPr="004E6454">
        <w:rPr>
          <w:rFonts w:ascii="Arial" w:hAnsi="Arial" w:cs="Arial"/>
        </w:rPr>
        <w:t xml:space="preserve">As aplicações previstas no Art. 8º são limitadas a </w:t>
      </w:r>
      <w:r w:rsidR="00843A2D">
        <w:rPr>
          <w:rFonts w:ascii="Arial" w:hAnsi="Arial" w:cs="Arial"/>
        </w:rPr>
        <w:t>4</w:t>
      </w:r>
      <w:r w:rsidRPr="004E6454">
        <w:rPr>
          <w:rFonts w:ascii="Arial" w:hAnsi="Arial" w:cs="Arial"/>
        </w:rPr>
        <w:t>0% da totalidade das aplicações do RPPS.</w:t>
      </w:r>
    </w:p>
    <w:p w:rsidR="00CF771B" w:rsidRPr="004E6454" w:rsidRDefault="00CF771B" w:rsidP="00CF771B">
      <w:pPr>
        <w:keepLines/>
        <w:widowControl w:val="0"/>
        <w:tabs>
          <w:tab w:val="left" w:pos="0"/>
        </w:tabs>
        <w:spacing w:before="60" w:after="60" w:line="360" w:lineRule="auto"/>
        <w:ind w:firstLine="709"/>
        <w:jc w:val="both"/>
        <w:rPr>
          <w:rFonts w:ascii="Arial" w:hAnsi="Arial" w:cs="Arial"/>
          <w:b/>
          <w:color w:val="FFFFFF"/>
        </w:rPr>
      </w:pPr>
      <w:r w:rsidRPr="004E6454">
        <w:rPr>
          <w:rFonts w:ascii="Arial" w:hAnsi="Arial" w:cs="Arial"/>
          <w:color w:val="000000"/>
        </w:rPr>
        <w:t xml:space="preserve">Diante do cenário possível para alocação no segmento renda variável tentará buscar um retorno de rentabilidade equivalente à meta atuarial. </w:t>
      </w:r>
    </w:p>
    <w:p w:rsidR="00CF771B" w:rsidRPr="004E6454" w:rsidRDefault="00CF771B" w:rsidP="00CF771B">
      <w:pPr>
        <w:widowControl w:val="0"/>
        <w:tabs>
          <w:tab w:val="num" w:pos="1224"/>
          <w:tab w:val="left" w:pos="1440"/>
        </w:tabs>
        <w:spacing w:before="60" w:after="60" w:line="360" w:lineRule="auto"/>
        <w:ind w:firstLine="709"/>
        <w:jc w:val="both"/>
        <w:rPr>
          <w:rFonts w:ascii="Arial" w:hAnsi="Arial" w:cs="Arial"/>
          <w:color w:val="000000" w:themeColor="text1"/>
        </w:rPr>
      </w:pPr>
      <w:r w:rsidRPr="004E6454">
        <w:rPr>
          <w:rFonts w:ascii="Arial" w:hAnsi="Arial" w:cs="Arial"/>
          <w:color w:val="000000" w:themeColor="text1"/>
        </w:rPr>
        <w:t xml:space="preserve">Os regimes próprios de previdência social somente poderão aplicar recursos em cotas de fundos de investimento quando atendidas, cumulativamente, as seguintes condições: </w:t>
      </w:r>
    </w:p>
    <w:p w:rsidR="00CF771B" w:rsidRPr="004E6454" w:rsidRDefault="00CF771B" w:rsidP="00CF771B">
      <w:pPr>
        <w:widowControl w:val="0"/>
        <w:tabs>
          <w:tab w:val="num" w:pos="1224"/>
          <w:tab w:val="left" w:pos="1440"/>
        </w:tabs>
        <w:spacing w:before="60" w:after="60" w:line="360" w:lineRule="auto"/>
        <w:ind w:firstLine="709"/>
        <w:jc w:val="both"/>
        <w:rPr>
          <w:rFonts w:ascii="Arial" w:hAnsi="Arial" w:cs="Arial"/>
          <w:color w:val="000000" w:themeColor="text1"/>
        </w:rPr>
      </w:pPr>
      <w:r w:rsidRPr="004E6454">
        <w:rPr>
          <w:rFonts w:ascii="Arial" w:hAnsi="Arial" w:cs="Arial"/>
          <w:color w:val="000000" w:themeColor="text1"/>
        </w:rPr>
        <w:t xml:space="preserve">I - o administrador ou o gestor do fundo de investimento seja instituição autorizada a funcionar pelo Banco Central do Brasil obrigada a instituir comitê de auditoria e comitê de riscos, nos termos da regulamentação do Conselho Monetário Nacional; </w:t>
      </w:r>
    </w:p>
    <w:p w:rsidR="00CF771B" w:rsidRPr="004E6454" w:rsidRDefault="00CF771B" w:rsidP="00CF771B">
      <w:pPr>
        <w:widowControl w:val="0"/>
        <w:tabs>
          <w:tab w:val="num" w:pos="1224"/>
          <w:tab w:val="left" w:pos="1440"/>
        </w:tabs>
        <w:spacing w:before="60" w:after="60" w:line="360" w:lineRule="auto"/>
        <w:ind w:firstLine="709"/>
        <w:jc w:val="both"/>
        <w:rPr>
          <w:rFonts w:ascii="Arial" w:hAnsi="Arial" w:cs="Arial"/>
          <w:color w:val="000000" w:themeColor="text1"/>
        </w:rPr>
      </w:pPr>
      <w:r w:rsidRPr="004E6454">
        <w:rPr>
          <w:rFonts w:ascii="Arial" w:hAnsi="Arial" w:cs="Arial"/>
          <w:color w:val="000000" w:themeColor="text1"/>
        </w:rPr>
        <w:t>II - o administrador do fundo de investimento detenha, no máximo, 50% (cinquenta por cento) dos recursos sob sua administração oriundos de regimes pró</w:t>
      </w:r>
      <w:r w:rsidR="00EC75F5">
        <w:rPr>
          <w:rFonts w:ascii="Arial" w:hAnsi="Arial" w:cs="Arial"/>
          <w:color w:val="000000" w:themeColor="text1"/>
        </w:rPr>
        <w:t>prios de previdência social;</w:t>
      </w:r>
    </w:p>
    <w:p w:rsidR="00CF771B" w:rsidRPr="004E6454" w:rsidRDefault="00CF771B" w:rsidP="00CF771B">
      <w:pPr>
        <w:widowControl w:val="0"/>
        <w:tabs>
          <w:tab w:val="num" w:pos="1224"/>
          <w:tab w:val="left" w:pos="1440"/>
        </w:tabs>
        <w:spacing w:before="60" w:after="60" w:line="360" w:lineRule="auto"/>
        <w:ind w:firstLine="709"/>
        <w:jc w:val="both"/>
        <w:rPr>
          <w:rFonts w:ascii="Arial" w:hAnsi="Arial" w:cs="Arial"/>
          <w:color w:val="000000" w:themeColor="text1"/>
        </w:rPr>
      </w:pPr>
      <w:r w:rsidRPr="004E6454">
        <w:rPr>
          <w:rFonts w:ascii="Arial" w:hAnsi="Arial" w:cs="Arial"/>
          <w:color w:val="000000" w:themeColor="text1"/>
        </w:rPr>
        <w:t xml:space="preserve">III - o gestor e o administrador do fundo de investimento tenham sido objeto de prévio credenciamento, de que trata o inciso VI do § 1º do art. 1º, e sejam considerados pelos responsáveis pela gestão de recursos do regime próprio de previdência social como de boa qualidade de gestão e de ambiente de controle de </w:t>
      </w:r>
      <w:r w:rsidRPr="004E6454">
        <w:rPr>
          <w:rFonts w:ascii="Arial" w:hAnsi="Arial" w:cs="Arial"/>
          <w:color w:val="000000" w:themeColor="text1"/>
        </w:rPr>
        <w:lastRenderedPageBreak/>
        <w:t>investimento.</w:t>
      </w:r>
    </w:p>
    <w:p w:rsidR="00CF771B" w:rsidRPr="004E6454" w:rsidRDefault="00CF771B" w:rsidP="00CF771B">
      <w:pPr>
        <w:widowControl w:val="0"/>
        <w:tabs>
          <w:tab w:val="num" w:pos="1224"/>
          <w:tab w:val="left" w:pos="1440"/>
        </w:tabs>
        <w:spacing w:before="60" w:after="60" w:line="360" w:lineRule="auto"/>
        <w:ind w:firstLine="709"/>
        <w:jc w:val="both"/>
        <w:rPr>
          <w:rFonts w:ascii="Arial" w:hAnsi="Arial" w:cs="Arial"/>
          <w:color w:val="000000" w:themeColor="text1"/>
        </w:rPr>
      </w:pPr>
      <w:r w:rsidRPr="004E6454">
        <w:rPr>
          <w:rFonts w:ascii="Arial" w:hAnsi="Arial" w:cs="Arial"/>
          <w:color w:val="000000" w:themeColor="text1"/>
        </w:rPr>
        <w:t>Deverá ser observada lista destas instituições emitida pela Secretaria de Previdência Social.</w:t>
      </w:r>
    </w:p>
    <w:p w:rsidR="00CF771B" w:rsidRPr="006C70AF" w:rsidRDefault="00CF771B" w:rsidP="00CF771B">
      <w:pPr>
        <w:keepLines/>
        <w:widowControl w:val="0"/>
        <w:tabs>
          <w:tab w:val="left" w:pos="0"/>
        </w:tabs>
        <w:spacing w:before="60" w:after="60" w:line="360" w:lineRule="auto"/>
        <w:rPr>
          <w:rFonts w:ascii="Arial" w:eastAsia="Times New Roman" w:hAnsi="Arial" w:cs="Arial"/>
          <w:lang w:eastAsia="pt-BR"/>
        </w:rPr>
      </w:pPr>
    </w:p>
    <w:p w:rsidR="00CF771B" w:rsidRPr="003D13A8" w:rsidRDefault="00CF771B" w:rsidP="00CF771B">
      <w:pPr>
        <w:pStyle w:val="Ttulo2"/>
        <w:spacing w:line="360" w:lineRule="auto"/>
        <w:rPr>
          <w:rFonts w:ascii="Arial" w:hAnsi="Arial" w:cs="Arial"/>
          <w:color w:val="000000" w:themeColor="text1"/>
          <w:sz w:val="22"/>
          <w:szCs w:val="22"/>
        </w:rPr>
      </w:pPr>
      <w:bookmarkStart w:id="23" w:name="_Toc536189704"/>
      <w:bookmarkStart w:id="24" w:name="_Toc20133931"/>
      <w:proofErr w:type="gramStart"/>
      <w:r w:rsidRPr="003D13A8">
        <w:rPr>
          <w:rFonts w:ascii="Arial" w:hAnsi="Arial" w:cs="Arial"/>
          <w:color w:val="000000" w:themeColor="text1"/>
          <w:sz w:val="22"/>
          <w:szCs w:val="22"/>
        </w:rPr>
        <w:t>6.3 SEGMENTO</w:t>
      </w:r>
      <w:proofErr w:type="gramEnd"/>
      <w:r w:rsidRPr="003D13A8">
        <w:rPr>
          <w:rFonts w:ascii="Arial" w:hAnsi="Arial" w:cs="Arial"/>
          <w:color w:val="000000" w:themeColor="text1"/>
          <w:sz w:val="22"/>
          <w:szCs w:val="22"/>
        </w:rPr>
        <w:t xml:space="preserve"> DE INVESTIMENTOS NO EXTERIOR</w:t>
      </w:r>
      <w:bookmarkEnd w:id="23"/>
      <w:bookmarkEnd w:id="24"/>
    </w:p>
    <w:p w:rsidR="00CF771B" w:rsidRPr="003D13A8" w:rsidRDefault="00CF771B" w:rsidP="00CF771B">
      <w:pPr>
        <w:autoSpaceDE w:val="0"/>
        <w:autoSpaceDN w:val="0"/>
        <w:adjustRightInd w:val="0"/>
        <w:spacing w:line="360" w:lineRule="auto"/>
        <w:jc w:val="both"/>
        <w:rPr>
          <w:rFonts w:ascii="Arial" w:hAnsi="Arial" w:cs="Arial"/>
          <w:b/>
          <w:color w:val="FF0000"/>
        </w:rPr>
      </w:pPr>
    </w:p>
    <w:p w:rsidR="00CF771B" w:rsidRPr="003D13A8" w:rsidRDefault="00CF771B" w:rsidP="00CF771B">
      <w:pPr>
        <w:autoSpaceDE w:val="0"/>
        <w:autoSpaceDN w:val="0"/>
        <w:adjustRightInd w:val="0"/>
        <w:spacing w:line="360" w:lineRule="auto"/>
        <w:ind w:firstLine="709"/>
        <w:jc w:val="both"/>
        <w:rPr>
          <w:rFonts w:ascii="Arial" w:hAnsi="Arial" w:cs="Arial"/>
          <w:color w:val="000000" w:themeColor="text1"/>
        </w:rPr>
      </w:pPr>
      <w:r w:rsidRPr="003D13A8">
        <w:rPr>
          <w:rFonts w:ascii="Arial" w:hAnsi="Arial" w:cs="Arial"/>
          <w:color w:val="000000" w:themeColor="text1"/>
        </w:rPr>
        <w:t xml:space="preserve"> No segmento de investimentos no exterior, as aplicações dos recursos dos regimes próprios de previdência social subordinam-se ao limite de até 10% (dez por cento) no conjunto de:</w:t>
      </w:r>
    </w:p>
    <w:p w:rsidR="00CF771B" w:rsidRPr="003D13A8" w:rsidRDefault="00CF771B" w:rsidP="00CF771B">
      <w:pPr>
        <w:autoSpaceDE w:val="0"/>
        <w:autoSpaceDN w:val="0"/>
        <w:adjustRightInd w:val="0"/>
        <w:spacing w:line="360" w:lineRule="auto"/>
        <w:ind w:firstLine="709"/>
        <w:jc w:val="both"/>
        <w:rPr>
          <w:rFonts w:ascii="Arial" w:hAnsi="Arial" w:cs="Arial"/>
          <w:color w:val="000000" w:themeColor="text1"/>
        </w:rPr>
      </w:pPr>
      <w:r w:rsidRPr="003D13A8">
        <w:rPr>
          <w:rFonts w:ascii="Arial" w:hAnsi="Arial" w:cs="Arial"/>
          <w:color w:val="000000" w:themeColor="text1"/>
        </w:rPr>
        <w:t xml:space="preserve"> I - cotas de fundos de investimento e cotas de fundos de investimento em cotas de fundos de investimento classificados como “Renda Fixa - Dívida Externa”;</w:t>
      </w:r>
    </w:p>
    <w:p w:rsidR="00F34D2E" w:rsidRDefault="00CF771B" w:rsidP="00CF771B">
      <w:pPr>
        <w:autoSpaceDE w:val="0"/>
        <w:autoSpaceDN w:val="0"/>
        <w:adjustRightInd w:val="0"/>
        <w:spacing w:line="360" w:lineRule="auto"/>
        <w:ind w:firstLine="709"/>
        <w:jc w:val="both"/>
        <w:rPr>
          <w:rFonts w:ascii="Arial" w:hAnsi="Arial" w:cs="Arial"/>
          <w:color w:val="000000" w:themeColor="text1"/>
        </w:rPr>
      </w:pPr>
      <w:r w:rsidRPr="003D13A8">
        <w:rPr>
          <w:rFonts w:ascii="Arial" w:hAnsi="Arial" w:cs="Arial"/>
          <w:color w:val="000000" w:themeColor="text1"/>
        </w:rPr>
        <w:t xml:space="preserve"> II - </w:t>
      </w:r>
      <w:proofErr w:type="gramStart"/>
      <w:r w:rsidRPr="003D13A8">
        <w:rPr>
          <w:rFonts w:ascii="Arial" w:hAnsi="Arial" w:cs="Arial"/>
          <w:color w:val="000000" w:themeColor="text1"/>
        </w:rPr>
        <w:t>cotas</w:t>
      </w:r>
      <w:proofErr w:type="gramEnd"/>
      <w:r w:rsidRPr="003D13A8">
        <w:rPr>
          <w:rFonts w:ascii="Arial" w:hAnsi="Arial" w:cs="Arial"/>
          <w:color w:val="000000" w:themeColor="text1"/>
        </w:rPr>
        <w:t xml:space="preserve"> de fundos de investimento constituídos no Brasil sob a forma de condomínio aberto com o sufixo “Investimento no Exterior”, nos termos da regulamentação estabelecida pela Comissão de Valores Mobiliários, que invistam, no mínimo, 67% (sessenta e sete por cento) do seu patrimônio líquido em cotas de fundos de investi</w:t>
      </w:r>
      <w:r w:rsidR="00F34D2E">
        <w:rPr>
          <w:rFonts w:ascii="Arial" w:hAnsi="Arial" w:cs="Arial"/>
          <w:color w:val="000000" w:themeColor="text1"/>
        </w:rPr>
        <w:t>mento constituídos no exterior;</w:t>
      </w:r>
    </w:p>
    <w:p w:rsidR="00F34D2E" w:rsidRDefault="00CF771B" w:rsidP="00CF771B">
      <w:pPr>
        <w:autoSpaceDE w:val="0"/>
        <w:autoSpaceDN w:val="0"/>
        <w:adjustRightInd w:val="0"/>
        <w:spacing w:line="360" w:lineRule="auto"/>
        <w:ind w:firstLine="709"/>
        <w:jc w:val="both"/>
        <w:rPr>
          <w:rFonts w:ascii="Arial" w:hAnsi="Arial" w:cs="Arial"/>
          <w:color w:val="000000" w:themeColor="text1"/>
        </w:rPr>
      </w:pPr>
      <w:r w:rsidRPr="003D13A8">
        <w:rPr>
          <w:rFonts w:ascii="Arial" w:hAnsi="Arial" w:cs="Arial"/>
          <w:color w:val="000000" w:themeColor="text1"/>
        </w:rPr>
        <w:t>III - cotas dos fundos da classe “Ações – BDR Nível I”, nos termos da regulamentação estabelecida pela C</w:t>
      </w:r>
      <w:r w:rsidR="00F34D2E">
        <w:rPr>
          <w:rFonts w:ascii="Arial" w:hAnsi="Arial" w:cs="Arial"/>
          <w:color w:val="000000" w:themeColor="text1"/>
        </w:rPr>
        <w:t>omissão de Valores Mobiliários.</w:t>
      </w:r>
    </w:p>
    <w:p w:rsidR="00EE0358" w:rsidRDefault="00CF771B" w:rsidP="00CF771B">
      <w:pPr>
        <w:autoSpaceDE w:val="0"/>
        <w:autoSpaceDN w:val="0"/>
        <w:adjustRightInd w:val="0"/>
        <w:spacing w:line="360" w:lineRule="auto"/>
        <w:ind w:firstLine="709"/>
        <w:jc w:val="both"/>
        <w:rPr>
          <w:rFonts w:ascii="Arial" w:hAnsi="Arial" w:cs="Arial"/>
          <w:color w:val="000000" w:themeColor="text1"/>
        </w:rPr>
      </w:pPr>
      <w:r w:rsidRPr="003D13A8">
        <w:rPr>
          <w:rFonts w:ascii="Arial" w:hAnsi="Arial" w:cs="Arial"/>
          <w:color w:val="000000" w:themeColor="text1"/>
        </w:rPr>
        <w:t>Parágrafo único. O regime próprio de previdê</w:t>
      </w:r>
      <w:r w:rsidR="00EE0358">
        <w:rPr>
          <w:rFonts w:ascii="Arial" w:hAnsi="Arial" w:cs="Arial"/>
          <w:color w:val="000000" w:themeColor="text1"/>
        </w:rPr>
        <w:t>ncia social deve assegurar que:</w:t>
      </w:r>
    </w:p>
    <w:p w:rsidR="00EE0358" w:rsidRDefault="00CF771B" w:rsidP="00CF771B">
      <w:pPr>
        <w:autoSpaceDE w:val="0"/>
        <w:autoSpaceDN w:val="0"/>
        <w:adjustRightInd w:val="0"/>
        <w:spacing w:line="360" w:lineRule="auto"/>
        <w:ind w:firstLine="709"/>
        <w:jc w:val="both"/>
        <w:rPr>
          <w:rFonts w:ascii="Arial" w:hAnsi="Arial" w:cs="Arial"/>
          <w:color w:val="000000" w:themeColor="text1"/>
        </w:rPr>
      </w:pPr>
      <w:r w:rsidRPr="003D13A8">
        <w:rPr>
          <w:rFonts w:ascii="Arial" w:hAnsi="Arial" w:cs="Arial"/>
          <w:color w:val="000000" w:themeColor="text1"/>
        </w:rPr>
        <w:t>I - os gestores dos fundos de investimentos constituídos no exterior estejam em atividade há mais de cinco anos e administrem montante de recursos de terceiros superior a US$ 5.000.000.000,00 (cinco bilhões de dólares dos Estados Unidos da Am</w:t>
      </w:r>
      <w:r w:rsidR="00EE0358">
        <w:rPr>
          <w:rFonts w:ascii="Arial" w:hAnsi="Arial" w:cs="Arial"/>
          <w:color w:val="000000" w:themeColor="text1"/>
        </w:rPr>
        <w:t>érica) na data do investimento;</w:t>
      </w:r>
    </w:p>
    <w:p w:rsidR="00CF771B" w:rsidRPr="003D13A8" w:rsidRDefault="00CF771B" w:rsidP="00CF771B">
      <w:pPr>
        <w:autoSpaceDE w:val="0"/>
        <w:autoSpaceDN w:val="0"/>
        <w:adjustRightInd w:val="0"/>
        <w:spacing w:line="360" w:lineRule="auto"/>
        <w:ind w:firstLine="709"/>
        <w:jc w:val="both"/>
        <w:rPr>
          <w:rFonts w:ascii="Arial" w:hAnsi="Arial" w:cs="Arial"/>
          <w:color w:val="000000" w:themeColor="text1"/>
        </w:rPr>
      </w:pPr>
      <w:r w:rsidRPr="003D13A8">
        <w:rPr>
          <w:rFonts w:ascii="Arial" w:hAnsi="Arial" w:cs="Arial"/>
          <w:color w:val="000000" w:themeColor="text1"/>
        </w:rPr>
        <w:t xml:space="preserve">II - os fundos de investimento constituídos no exterior possuam histórico de </w:t>
      </w:r>
      <w:proofErr w:type="gramStart"/>
      <w:r w:rsidRPr="003D13A8">
        <w:rPr>
          <w:rFonts w:ascii="Arial" w:hAnsi="Arial" w:cs="Arial"/>
          <w:color w:val="000000" w:themeColor="text1"/>
        </w:rPr>
        <w:t>performance</w:t>
      </w:r>
      <w:proofErr w:type="gramEnd"/>
      <w:r w:rsidRPr="003D13A8">
        <w:rPr>
          <w:rFonts w:ascii="Arial" w:hAnsi="Arial" w:cs="Arial"/>
          <w:color w:val="000000" w:themeColor="text1"/>
        </w:rPr>
        <w:t xml:space="preserve"> superior a doze meses</w:t>
      </w:r>
      <w:r w:rsidR="00EE0358">
        <w:rPr>
          <w:rFonts w:ascii="Arial" w:hAnsi="Arial" w:cs="Arial"/>
          <w:color w:val="000000" w:themeColor="text1"/>
        </w:rPr>
        <w:t>.</w:t>
      </w:r>
    </w:p>
    <w:p w:rsidR="00CF771B" w:rsidRPr="00CF771B" w:rsidRDefault="00CF771B" w:rsidP="00CF771B">
      <w:pPr>
        <w:autoSpaceDE w:val="0"/>
        <w:autoSpaceDN w:val="0"/>
        <w:adjustRightInd w:val="0"/>
        <w:spacing w:line="360" w:lineRule="auto"/>
        <w:ind w:firstLine="709"/>
        <w:jc w:val="both"/>
        <w:rPr>
          <w:rFonts w:ascii="Arial" w:hAnsi="Arial" w:cs="Arial"/>
          <w:color w:val="000000" w:themeColor="text1"/>
        </w:rPr>
      </w:pPr>
      <w:r w:rsidRPr="003D13A8">
        <w:rPr>
          <w:rFonts w:ascii="Arial" w:hAnsi="Arial" w:cs="Arial"/>
          <w:color w:val="000000" w:themeColor="text1"/>
        </w:rPr>
        <w:t>A seguir, apresentamos a tabela oficial síntese com os limites estabelecidos na resolução 3.922/2010 dada pela redação da 4.695/18 para as aplicações deste RPPS. Estes limites, bem como as demais diretrizes deste normativo são partes integrantes desta Política de Investimentos.</w:t>
      </w:r>
    </w:p>
    <w:p w:rsidR="00CF771B" w:rsidRDefault="00CF771B" w:rsidP="00CF771B">
      <w:pPr>
        <w:spacing w:line="360" w:lineRule="auto"/>
        <w:rPr>
          <w:rFonts w:ascii="Arial" w:hAnsi="Arial" w:cs="Arial"/>
          <w:sz w:val="20"/>
          <w:szCs w:val="24"/>
        </w:rPr>
      </w:pPr>
    </w:p>
    <w:p w:rsidR="00B033CD" w:rsidRDefault="00B033CD" w:rsidP="00CF771B">
      <w:pPr>
        <w:spacing w:line="360" w:lineRule="auto"/>
        <w:rPr>
          <w:rFonts w:ascii="Arial" w:hAnsi="Arial" w:cs="Arial"/>
          <w:sz w:val="20"/>
          <w:szCs w:val="24"/>
        </w:rPr>
      </w:pPr>
    </w:p>
    <w:p w:rsidR="00B033CD" w:rsidRDefault="00B033CD" w:rsidP="00CF771B">
      <w:pPr>
        <w:spacing w:line="360" w:lineRule="auto"/>
        <w:rPr>
          <w:rFonts w:ascii="Arial" w:hAnsi="Arial" w:cs="Arial"/>
          <w:sz w:val="20"/>
          <w:szCs w:val="24"/>
        </w:rPr>
      </w:pPr>
    </w:p>
    <w:p w:rsidR="00CF771B" w:rsidRDefault="00CF771B" w:rsidP="00CF771B">
      <w:pPr>
        <w:autoSpaceDE w:val="0"/>
        <w:autoSpaceDN w:val="0"/>
        <w:adjustRightInd w:val="0"/>
        <w:spacing w:line="360" w:lineRule="auto"/>
        <w:jc w:val="center"/>
        <w:rPr>
          <w:rFonts w:ascii="Arial Narrow" w:hAnsi="Arial Narrow" w:cs="Arial"/>
          <w:b/>
          <w:color w:val="000000" w:themeColor="text1"/>
          <w:szCs w:val="24"/>
        </w:rPr>
      </w:pPr>
      <w:r>
        <w:rPr>
          <w:rFonts w:ascii="Arial Narrow" w:hAnsi="Arial Narrow" w:cs="Arial"/>
          <w:b/>
          <w:color w:val="000000"/>
          <w:szCs w:val="24"/>
        </w:rPr>
        <w:t xml:space="preserve">LIMITES DISPONÍVEIS </w:t>
      </w:r>
      <w:r w:rsidRPr="007149FA">
        <w:rPr>
          <w:rFonts w:ascii="Arial Narrow" w:hAnsi="Arial Narrow" w:cs="Arial"/>
          <w:b/>
          <w:color w:val="000000"/>
          <w:szCs w:val="24"/>
        </w:rPr>
        <w:t>CONFORME RESOLUÇÃO 3.922/</w:t>
      </w:r>
      <w:r>
        <w:rPr>
          <w:rFonts w:ascii="Arial Narrow" w:hAnsi="Arial Narrow" w:cs="Arial"/>
          <w:b/>
          <w:color w:val="000000"/>
          <w:szCs w:val="24"/>
        </w:rPr>
        <w:t xml:space="preserve"> </w:t>
      </w:r>
      <w:r w:rsidRPr="007149FA">
        <w:rPr>
          <w:rFonts w:ascii="Arial Narrow" w:hAnsi="Arial Narrow" w:cs="Arial"/>
          <w:b/>
          <w:color w:val="000000"/>
          <w:szCs w:val="24"/>
        </w:rPr>
        <w:t>2010 E 4.</w:t>
      </w:r>
      <w:r w:rsidRPr="007C3380">
        <w:rPr>
          <w:rFonts w:ascii="Arial Narrow" w:hAnsi="Arial Narrow" w:cs="Arial"/>
          <w:b/>
          <w:color w:val="000000" w:themeColor="text1"/>
          <w:szCs w:val="24"/>
        </w:rPr>
        <w:t>695/</w:t>
      </w:r>
      <w:r w:rsidR="00B033CD">
        <w:rPr>
          <w:rFonts w:ascii="Arial Narrow" w:hAnsi="Arial Narrow" w:cs="Arial"/>
          <w:b/>
          <w:color w:val="000000" w:themeColor="text1"/>
          <w:szCs w:val="24"/>
        </w:rPr>
        <w:t xml:space="preserve"> 20</w:t>
      </w:r>
      <w:r w:rsidRPr="007C3380">
        <w:rPr>
          <w:rFonts w:ascii="Arial Narrow" w:hAnsi="Arial Narrow" w:cs="Arial"/>
          <w:b/>
          <w:color w:val="000000" w:themeColor="text1"/>
          <w:szCs w:val="24"/>
        </w:rPr>
        <w:t>18</w:t>
      </w:r>
    </w:p>
    <w:tbl>
      <w:tblPr>
        <w:tblW w:w="10546" w:type="dxa"/>
        <w:tblInd w:w="-1048" w:type="dxa"/>
        <w:tblLayout w:type="fixed"/>
        <w:tblCellMar>
          <w:left w:w="70" w:type="dxa"/>
          <w:right w:w="70" w:type="dxa"/>
        </w:tblCellMar>
        <w:tblLook w:val="04A0" w:firstRow="1" w:lastRow="0" w:firstColumn="1" w:lastColumn="0" w:noHBand="0" w:noVBand="1"/>
      </w:tblPr>
      <w:tblGrid>
        <w:gridCol w:w="317"/>
        <w:gridCol w:w="2542"/>
        <w:gridCol w:w="983"/>
        <w:gridCol w:w="1265"/>
        <w:gridCol w:w="557"/>
        <w:gridCol w:w="699"/>
        <w:gridCol w:w="557"/>
        <w:gridCol w:w="699"/>
        <w:gridCol w:w="557"/>
        <w:gridCol w:w="557"/>
        <w:gridCol w:w="557"/>
        <w:gridCol w:w="699"/>
        <w:gridCol w:w="557"/>
      </w:tblGrid>
      <w:tr w:rsidR="00CF771B" w:rsidRPr="00B033CD" w:rsidTr="000F3E71">
        <w:trPr>
          <w:trHeight w:val="495"/>
        </w:trPr>
        <w:tc>
          <w:tcPr>
            <w:tcW w:w="317" w:type="dxa"/>
            <w:tcBorders>
              <w:top w:val="nil"/>
              <w:left w:val="nil"/>
              <w:bottom w:val="nil"/>
              <w:right w:val="nil"/>
            </w:tcBorders>
            <w:shd w:val="clear" w:color="auto" w:fill="auto"/>
            <w:noWrap/>
            <w:vAlign w:val="bottom"/>
            <w:hideMark/>
          </w:tcPr>
          <w:p w:rsidR="00CF771B" w:rsidRPr="00B033CD" w:rsidRDefault="00CF771B" w:rsidP="00CF771B">
            <w:pPr>
              <w:spacing w:after="0" w:line="240" w:lineRule="auto"/>
              <w:rPr>
                <w:rFonts w:eastAsia="Times New Roman" w:cs="Calibri"/>
                <w:color w:val="000000"/>
                <w:sz w:val="16"/>
                <w:szCs w:val="16"/>
                <w:lang w:eastAsia="pt-BR"/>
              </w:rPr>
            </w:pPr>
          </w:p>
        </w:tc>
        <w:tc>
          <w:tcPr>
            <w:tcW w:w="2542" w:type="dxa"/>
            <w:tcBorders>
              <w:top w:val="single" w:sz="8" w:space="0" w:color="auto"/>
              <w:left w:val="single" w:sz="8" w:space="0" w:color="auto"/>
              <w:bottom w:val="single" w:sz="8" w:space="0" w:color="auto"/>
              <w:right w:val="nil"/>
            </w:tcBorders>
            <w:shd w:val="clear" w:color="auto" w:fill="auto"/>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TIPO DE ATIVO</w:t>
            </w:r>
          </w:p>
        </w:tc>
        <w:tc>
          <w:tcPr>
            <w:tcW w:w="983" w:type="dxa"/>
            <w:tcBorders>
              <w:top w:val="single" w:sz="8" w:space="0" w:color="auto"/>
              <w:left w:val="nil"/>
              <w:bottom w:val="single" w:sz="8" w:space="0" w:color="auto"/>
              <w:right w:val="nil"/>
            </w:tcBorders>
            <w:shd w:val="clear" w:color="auto" w:fill="auto"/>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ARTIGO</w:t>
            </w:r>
          </w:p>
        </w:tc>
        <w:tc>
          <w:tcPr>
            <w:tcW w:w="1265" w:type="dxa"/>
            <w:tcBorders>
              <w:top w:val="single" w:sz="8" w:space="0" w:color="auto"/>
              <w:left w:val="nil"/>
              <w:bottom w:val="single" w:sz="8" w:space="0" w:color="auto"/>
              <w:right w:val="nil"/>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 xml:space="preserve">LIMITE DA </w:t>
            </w:r>
            <w:r w:rsidRPr="00B033CD">
              <w:rPr>
                <w:rFonts w:ascii="Arial" w:eastAsia="Times New Roman" w:hAnsi="Arial" w:cs="Arial"/>
                <w:b/>
                <w:bCs/>
                <w:color w:val="000000"/>
                <w:sz w:val="16"/>
                <w:szCs w:val="16"/>
                <w:lang w:eastAsia="pt-BR"/>
              </w:rPr>
              <w:br/>
              <w:t>RESOLUÇÃO</w:t>
            </w:r>
          </w:p>
        </w:tc>
        <w:tc>
          <w:tcPr>
            <w:tcW w:w="557" w:type="dxa"/>
            <w:tcBorders>
              <w:top w:val="single" w:sz="8" w:space="0" w:color="auto"/>
              <w:left w:val="nil"/>
              <w:bottom w:val="single" w:sz="8" w:space="0" w:color="auto"/>
              <w:right w:val="single" w:sz="4" w:space="0" w:color="auto"/>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p>
        </w:tc>
        <w:tc>
          <w:tcPr>
            <w:tcW w:w="1256" w:type="dxa"/>
            <w:gridSpan w:val="2"/>
            <w:tcBorders>
              <w:top w:val="single" w:sz="8" w:space="0" w:color="auto"/>
              <w:left w:val="single" w:sz="4" w:space="0" w:color="auto"/>
              <w:bottom w:val="single" w:sz="8" w:space="0" w:color="auto"/>
              <w:right w:val="nil"/>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P-GESTÃO</w:t>
            </w:r>
            <w:r w:rsidRPr="00B033CD">
              <w:rPr>
                <w:rFonts w:ascii="Arial" w:eastAsia="Times New Roman" w:hAnsi="Arial" w:cs="Arial"/>
                <w:b/>
                <w:bCs/>
                <w:color w:val="000000"/>
                <w:sz w:val="16"/>
                <w:szCs w:val="16"/>
                <w:lang w:eastAsia="pt-BR"/>
              </w:rPr>
              <w:br/>
              <w:t>N I</w:t>
            </w:r>
          </w:p>
        </w:tc>
        <w:tc>
          <w:tcPr>
            <w:tcW w:w="1256" w:type="dxa"/>
            <w:gridSpan w:val="2"/>
            <w:tcBorders>
              <w:top w:val="single" w:sz="8" w:space="0" w:color="auto"/>
              <w:left w:val="single" w:sz="4" w:space="0" w:color="auto"/>
              <w:bottom w:val="single" w:sz="8" w:space="0" w:color="auto"/>
              <w:right w:val="nil"/>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P-GESTÃO</w:t>
            </w:r>
            <w:r w:rsidRPr="00B033CD">
              <w:rPr>
                <w:rFonts w:ascii="Arial" w:eastAsia="Times New Roman" w:hAnsi="Arial" w:cs="Arial"/>
                <w:b/>
                <w:bCs/>
                <w:color w:val="000000"/>
                <w:sz w:val="16"/>
                <w:szCs w:val="16"/>
                <w:lang w:eastAsia="pt-BR"/>
              </w:rPr>
              <w:br/>
              <w:t>N II</w:t>
            </w:r>
          </w:p>
        </w:tc>
        <w:tc>
          <w:tcPr>
            <w:tcW w:w="1114" w:type="dxa"/>
            <w:gridSpan w:val="2"/>
            <w:tcBorders>
              <w:top w:val="single" w:sz="8" w:space="0" w:color="auto"/>
              <w:left w:val="single" w:sz="4" w:space="0" w:color="auto"/>
              <w:bottom w:val="single" w:sz="8" w:space="0" w:color="auto"/>
              <w:right w:val="nil"/>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P-GESTÃO</w:t>
            </w:r>
            <w:r w:rsidRPr="00B033CD">
              <w:rPr>
                <w:rFonts w:ascii="Arial" w:eastAsia="Times New Roman" w:hAnsi="Arial" w:cs="Arial"/>
                <w:b/>
                <w:bCs/>
                <w:color w:val="000000"/>
                <w:sz w:val="16"/>
                <w:szCs w:val="16"/>
                <w:lang w:eastAsia="pt-BR"/>
              </w:rPr>
              <w:br/>
              <w:t>N III</w:t>
            </w:r>
          </w:p>
        </w:tc>
        <w:tc>
          <w:tcPr>
            <w:tcW w:w="1256" w:type="dxa"/>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P-GESTÃO</w:t>
            </w:r>
            <w:r w:rsidRPr="00B033CD">
              <w:rPr>
                <w:rFonts w:ascii="Arial" w:eastAsia="Times New Roman" w:hAnsi="Arial" w:cs="Arial"/>
                <w:b/>
                <w:bCs/>
                <w:color w:val="000000"/>
                <w:sz w:val="16"/>
                <w:szCs w:val="16"/>
                <w:lang w:eastAsia="pt-BR"/>
              </w:rPr>
              <w:br/>
              <w:t>N IV</w:t>
            </w:r>
          </w:p>
        </w:tc>
      </w:tr>
      <w:tr w:rsidR="000F3E71" w:rsidRPr="00B033CD" w:rsidTr="000F3E71">
        <w:trPr>
          <w:trHeight w:val="162"/>
        </w:trPr>
        <w:tc>
          <w:tcPr>
            <w:tcW w:w="317" w:type="dxa"/>
            <w:tcBorders>
              <w:top w:val="nil"/>
              <w:left w:val="nil"/>
              <w:bottom w:val="nil"/>
              <w:right w:val="nil"/>
            </w:tcBorders>
            <w:shd w:val="clear" w:color="auto" w:fill="auto"/>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p>
        </w:tc>
        <w:tc>
          <w:tcPr>
            <w:tcW w:w="2542" w:type="dxa"/>
            <w:tcBorders>
              <w:top w:val="nil"/>
              <w:left w:val="nil"/>
              <w:bottom w:val="nil"/>
              <w:right w:val="nil"/>
            </w:tcBorders>
            <w:shd w:val="clear" w:color="auto" w:fill="auto"/>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 </w:t>
            </w:r>
          </w:p>
        </w:tc>
        <w:tc>
          <w:tcPr>
            <w:tcW w:w="983" w:type="dxa"/>
            <w:tcBorders>
              <w:top w:val="nil"/>
              <w:left w:val="nil"/>
              <w:bottom w:val="nil"/>
              <w:right w:val="nil"/>
            </w:tcBorders>
            <w:shd w:val="clear" w:color="auto" w:fill="auto"/>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 </w:t>
            </w:r>
          </w:p>
        </w:tc>
        <w:tc>
          <w:tcPr>
            <w:tcW w:w="1265" w:type="dxa"/>
            <w:tcBorders>
              <w:top w:val="nil"/>
              <w:left w:val="nil"/>
              <w:bottom w:val="nil"/>
              <w:right w:val="nil"/>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 </w:t>
            </w:r>
          </w:p>
        </w:tc>
        <w:tc>
          <w:tcPr>
            <w:tcW w:w="557" w:type="dxa"/>
            <w:tcBorders>
              <w:top w:val="nil"/>
              <w:left w:val="nil"/>
              <w:bottom w:val="nil"/>
              <w:right w:val="nil"/>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 </w:t>
            </w:r>
          </w:p>
        </w:tc>
        <w:tc>
          <w:tcPr>
            <w:tcW w:w="699" w:type="dxa"/>
            <w:tcBorders>
              <w:top w:val="nil"/>
              <w:left w:val="nil"/>
              <w:bottom w:val="nil"/>
              <w:right w:val="nil"/>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 </w:t>
            </w:r>
          </w:p>
        </w:tc>
        <w:tc>
          <w:tcPr>
            <w:tcW w:w="557" w:type="dxa"/>
            <w:tcBorders>
              <w:top w:val="nil"/>
              <w:left w:val="nil"/>
              <w:bottom w:val="nil"/>
              <w:right w:val="nil"/>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 </w:t>
            </w:r>
          </w:p>
        </w:tc>
        <w:tc>
          <w:tcPr>
            <w:tcW w:w="699" w:type="dxa"/>
            <w:tcBorders>
              <w:top w:val="nil"/>
              <w:left w:val="nil"/>
              <w:bottom w:val="nil"/>
              <w:right w:val="nil"/>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 </w:t>
            </w:r>
          </w:p>
        </w:tc>
        <w:tc>
          <w:tcPr>
            <w:tcW w:w="557" w:type="dxa"/>
            <w:tcBorders>
              <w:top w:val="nil"/>
              <w:left w:val="nil"/>
              <w:bottom w:val="nil"/>
              <w:right w:val="nil"/>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 </w:t>
            </w:r>
          </w:p>
        </w:tc>
        <w:tc>
          <w:tcPr>
            <w:tcW w:w="557" w:type="dxa"/>
            <w:tcBorders>
              <w:top w:val="nil"/>
              <w:left w:val="nil"/>
              <w:bottom w:val="nil"/>
              <w:right w:val="nil"/>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 </w:t>
            </w:r>
          </w:p>
        </w:tc>
        <w:tc>
          <w:tcPr>
            <w:tcW w:w="557" w:type="dxa"/>
            <w:tcBorders>
              <w:top w:val="nil"/>
              <w:left w:val="nil"/>
              <w:bottom w:val="nil"/>
              <w:right w:val="nil"/>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 </w:t>
            </w:r>
          </w:p>
        </w:tc>
        <w:tc>
          <w:tcPr>
            <w:tcW w:w="699" w:type="dxa"/>
            <w:tcBorders>
              <w:top w:val="nil"/>
              <w:left w:val="nil"/>
              <w:bottom w:val="nil"/>
              <w:right w:val="nil"/>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 </w:t>
            </w:r>
          </w:p>
        </w:tc>
        <w:tc>
          <w:tcPr>
            <w:tcW w:w="557" w:type="dxa"/>
            <w:tcBorders>
              <w:top w:val="nil"/>
              <w:left w:val="nil"/>
              <w:bottom w:val="nil"/>
              <w:right w:val="nil"/>
            </w:tcBorders>
            <w:shd w:val="clear" w:color="auto" w:fill="auto"/>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 </w:t>
            </w:r>
          </w:p>
        </w:tc>
      </w:tr>
      <w:tr w:rsidR="000F3E71" w:rsidRPr="00B033CD" w:rsidTr="000F3E71">
        <w:trPr>
          <w:trHeight w:val="402"/>
        </w:trPr>
        <w:tc>
          <w:tcPr>
            <w:tcW w:w="317"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RENDA FIXA</w:t>
            </w:r>
          </w:p>
        </w:tc>
        <w:tc>
          <w:tcPr>
            <w:tcW w:w="2542" w:type="dxa"/>
            <w:tcBorders>
              <w:top w:val="single" w:sz="8" w:space="0" w:color="auto"/>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Títulos Tesouro Nacional – SELIC</w:t>
            </w:r>
          </w:p>
        </w:tc>
        <w:tc>
          <w:tcPr>
            <w:tcW w:w="983" w:type="dxa"/>
            <w:tcBorders>
              <w:top w:val="single" w:sz="8" w:space="0" w:color="auto"/>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7º, I, "a"</w:t>
            </w:r>
          </w:p>
        </w:tc>
        <w:tc>
          <w:tcPr>
            <w:tcW w:w="1265" w:type="dxa"/>
            <w:tcBorders>
              <w:top w:val="single" w:sz="8" w:space="0" w:color="auto"/>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100%</w:t>
            </w:r>
          </w:p>
        </w:tc>
        <w:tc>
          <w:tcPr>
            <w:tcW w:w="557" w:type="dxa"/>
            <w:tcBorders>
              <w:top w:val="single" w:sz="8" w:space="0" w:color="auto"/>
              <w:left w:val="single" w:sz="8" w:space="0" w:color="FFFFFF"/>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single" w:sz="8" w:space="0" w:color="auto"/>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100%</w:t>
            </w:r>
          </w:p>
        </w:tc>
        <w:tc>
          <w:tcPr>
            <w:tcW w:w="557" w:type="dxa"/>
            <w:tcBorders>
              <w:top w:val="single" w:sz="8" w:space="0" w:color="auto"/>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single" w:sz="8" w:space="0" w:color="auto"/>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100%</w:t>
            </w:r>
          </w:p>
        </w:tc>
        <w:tc>
          <w:tcPr>
            <w:tcW w:w="557" w:type="dxa"/>
            <w:tcBorders>
              <w:top w:val="single" w:sz="8" w:space="0" w:color="auto"/>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single" w:sz="8" w:space="0" w:color="auto"/>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100%</w:t>
            </w:r>
          </w:p>
        </w:tc>
        <w:tc>
          <w:tcPr>
            <w:tcW w:w="557" w:type="dxa"/>
            <w:tcBorders>
              <w:top w:val="single" w:sz="8" w:space="0" w:color="auto"/>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single" w:sz="8" w:space="0" w:color="auto"/>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100%</w:t>
            </w:r>
          </w:p>
        </w:tc>
        <w:tc>
          <w:tcPr>
            <w:tcW w:w="557" w:type="dxa"/>
            <w:tcBorders>
              <w:top w:val="single" w:sz="8" w:space="0" w:color="auto"/>
              <w:left w:val="nil"/>
              <w:bottom w:val="single" w:sz="4" w:space="0" w:color="FFFFFF"/>
              <w:right w:val="single" w:sz="8" w:space="0" w:color="auto"/>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Ref. em 100% títulos TN</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7º, I, "b"</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100%</w:t>
            </w:r>
          </w:p>
        </w:tc>
        <w:tc>
          <w:tcPr>
            <w:tcW w:w="557" w:type="dxa"/>
            <w:tcBorders>
              <w:top w:val="nil"/>
              <w:left w:val="single" w:sz="8" w:space="0" w:color="FFFFFF"/>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100%</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100%</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100%</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100%</w:t>
            </w:r>
          </w:p>
        </w:tc>
        <w:tc>
          <w:tcPr>
            <w:tcW w:w="557" w:type="dxa"/>
            <w:tcBorders>
              <w:top w:val="nil"/>
              <w:left w:val="nil"/>
              <w:bottom w:val="single" w:sz="4" w:space="0" w:color="FFFFFF"/>
              <w:right w:val="single" w:sz="8" w:space="0" w:color="auto"/>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xml:space="preserve">FI Ref. em Índice RF, 100% títulos </w:t>
            </w:r>
            <w:proofErr w:type="gramStart"/>
            <w:r w:rsidRPr="00B033CD">
              <w:rPr>
                <w:rFonts w:ascii="Arial" w:eastAsia="Times New Roman" w:hAnsi="Arial" w:cs="Arial"/>
                <w:color w:val="000000"/>
                <w:sz w:val="16"/>
                <w:szCs w:val="16"/>
                <w:lang w:eastAsia="pt-BR"/>
              </w:rPr>
              <w:t>TN</w:t>
            </w:r>
            <w:proofErr w:type="gramEnd"/>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7º, I, "c"</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100%</w:t>
            </w:r>
          </w:p>
        </w:tc>
        <w:tc>
          <w:tcPr>
            <w:tcW w:w="557" w:type="dxa"/>
            <w:tcBorders>
              <w:top w:val="nil"/>
              <w:left w:val="single" w:sz="8" w:space="0" w:color="FFFFFF"/>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100%</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100%</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100%</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100%</w:t>
            </w:r>
          </w:p>
        </w:tc>
        <w:tc>
          <w:tcPr>
            <w:tcW w:w="557" w:type="dxa"/>
            <w:tcBorders>
              <w:top w:val="nil"/>
              <w:left w:val="nil"/>
              <w:bottom w:val="single" w:sz="4" w:space="0" w:color="FFFFFF"/>
              <w:right w:val="single" w:sz="8" w:space="0" w:color="auto"/>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Operações compromissadas em títulos TN</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7º, II</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5%</w:t>
            </w:r>
          </w:p>
        </w:tc>
        <w:tc>
          <w:tcPr>
            <w:tcW w:w="557" w:type="dxa"/>
            <w:tcBorders>
              <w:top w:val="nil"/>
              <w:left w:val="single" w:sz="8" w:space="0" w:color="FFFFFF"/>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5%</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5%</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5%</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5%</w:t>
            </w:r>
          </w:p>
        </w:tc>
        <w:tc>
          <w:tcPr>
            <w:tcW w:w="557" w:type="dxa"/>
            <w:tcBorders>
              <w:top w:val="nil"/>
              <w:left w:val="nil"/>
              <w:bottom w:val="single" w:sz="4" w:space="0" w:color="FFFFFF"/>
              <w:right w:val="single" w:sz="8" w:space="0" w:color="auto"/>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Referenciados RF</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7º, III, "a"</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60%</w:t>
            </w:r>
          </w:p>
        </w:tc>
        <w:tc>
          <w:tcPr>
            <w:tcW w:w="557" w:type="dxa"/>
            <w:tcBorders>
              <w:top w:val="nil"/>
              <w:left w:val="single" w:sz="8" w:space="0" w:color="FFFFFF"/>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65%</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70%</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75%</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80%</w:t>
            </w:r>
          </w:p>
        </w:tc>
        <w:tc>
          <w:tcPr>
            <w:tcW w:w="557" w:type="dxa"/>
            <w:tcBorders>
              <w:top w:val="nil"/>
              <w:left w:val="nil"/>
              <w:bottom w:val="single" w:sz="4" w:space="0" w:color="FFFFFF"/>
              <w:right w:val="single" w:sz="8" w:space="0" w:color="auto"/>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de Índices Referenciado RF (ETF)</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7º, III, "b"</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60%</w:t>
            </w:r>
          </w:p>
        </w:tc>
        <w:tc>
          <w:tcPr>
            <w:tcW w:w="557" w:type="dxa"/>
            <w:tcBorders>
              <w:top w:val="nil"/>
              <w:left w:val="single" w:sz="8" w:space="0" w:color="FFFFFF"/>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65%</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70%</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75%</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80%</w:t>
            </w:r>
          </w:p>
        </w:tc>
        <w:tc>
          <w:tcPr>
            <w:tcW w:w="557" w:type="dxa"/>
            <w:tcBorders>
              <w:top w:val="nil"/>
              <w:left w:val="nil"/>
              <w:bottom w:val="single" w:sz="4" w:space="0" w:color="FFFFFF"/>
              <w:right w:val="single" w:sz="8" w:space="0" w:color="auto"/>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de Renda Fixa</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7º, IV, "a"</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40%</w:t>
            </w:r>
          </w:p>
        </w:tc>
        <w:tc>
          <w:tcPr>
            <w:tcW w:w="557" w:type="dxa"/>
            <w:tcBorders>
              <w:top w:val="nil"/>
              <w:left w:val="single" w:sz="8" w:space="0" w:color="FFFFFF"/>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45%</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50%</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55%</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60%</w:t>
            </w:r>
          </w:p>
        </w:tc>
        <w:tc>
          <w:tcPr>
            <w:tcW w:w="557" w:type="dxa"/>
            <w:tcBorders>
              <w:top w:val="nil"/>
              <w:left w:val="nil"/>
              <w:bottom w:val="single" w:sz="4" w:space="0" w:color="FFFFFF"/>
              <w:right w:val="single" w:sz="8" w:space="0" w:color="auto"/>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de Índices Renda Fixa (ETF)</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7º, IV, "b"</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40%</w:t>
            </w:r>
          </w:p>
        </w:tc>
        <w:tc>
          <w:tcPr>
            <w:tcW w:w="557" w:type="dxa"/>
            <w:tcBorders>
              <w:top w:val="nil"/>
              <w:left w:val="single" w:sz="8" w:space="0" w:color="FFFFFF"/>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45%</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50%</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55%</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60%</w:t>
            </w:r>
          </w:p>
        </w:tc>
        <w:tc>
          <w:tcPr>
            <w:tcW w:w="557" w:type="dxa"/>
            <w:tcBorders>
              <w:top w:val="nil"/>
              <w:left w:val="nil"/>
              <w:bottom w:val="single" w:sz="4" w:space="0" w:color="FFFFFF"/>
              <w:right w:val="single" w:sz="8" w:space="0" w:color="auto"/>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Letras Imobiliárias Garantidas</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7º, V, "b"</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20%</w:t>
            </w:r>
          </w:p>
        </w:tc>
        <w:tc>
          <w:tcPr>
            <w:tcW w:w="557" w:type="dxa"/>
            <w:tcBorders>
              <w:top w:val="nil"/>
              <w:left w:val="single" w:sz="8" w:space="0" w:color="FFFFFF"/>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20%</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20%</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20%</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20%</w:t>
            </w:r>
          </w:p>
        </w:tc>
        <w:tc>
          <w:tcPr>
            <w:tcW w:w="557" w:type="dxa"/>
            <w:tcBorders>
              <w:top w:val="nil"/>
              <w:left w:val="nil"/>
              <w:bottom w:val="single" w:sz="4" w:space="0" w:color="FFFFFF"/>
              <w:right w:val="single" w:sz="8" w:space="0" w:color="auto"/>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Certificados de Depósitos Bancários</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7º, VI, "a"</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15%</w:t>
            </w:r>
          </w:p>
        </w:tc>
        <w:tc>
          <w:tcPr>
            <w:tcW w:w="557" w:type="dxa"/>
            <w:tcBorders>
              <w:top w:val="nil"/>
              <w:left w:val="single" w:sz="8" w:space="0" w:color="FFFFFF"/>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15%</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15%</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15%</w:t>
            </w:r>
          </w:p>
        </w:tc>
        <w:tc>
          <w:tcPr>
            <w:tcW w:w="557" w:type="dxa"/>
            <w:tcBorders>
              <w:top w:val="nil"/>
              <w:left w:val="nil"/>
              <w:bottom w:val="single" w:sz="4" w:space="0" w:color="FFFFFF"/>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15%</w:t>
            </w:r>
          </w:p>
        </w:tc>
        <w:tc>
          <w:tcPr>
            <w:tcW w:w="557" w:type="dxa"/>
            <w:tcBorders>
              <w:top w:val="nil"/>
              <w:left w:val="nil"/>
              <w:bottom w:val="single" w:sz="4" w:space="0" w:color="FFFFFF"/>
              <w:right w:val="single" w:sz="8" w:space="0" w:color="auto"/>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nil"/>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Depósito em Poupança</w:t>
            </w:r>
          </w:p>
        </w:tc>
        <w:tc>
          <w:tcPr>
            <w:tcW w:w="983" w:type="dxa"/>
            <w:tcBorders>
              <w:top w:val="nil"/>
              <w:left w:val="nil"/>
              <w:bottom w:val="nil"/>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7º, VI, "b"</w:t>
            </w:r>
          </w:p>
        </w:tc>
        <w:tc>
          <w:tcPr>
            <w:tcW w:w="1265" w:type="dxa"/>
            <w:tcBorders>
              <w:top w:val="nil"/>
              <w:left w:val="nil"/>
              <w:bottom w:val="nil"/>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15%</w:t>
            </w:r>
          </w:p>
        </w:tc>
        <w:tc>
          <w:tcPr>
            <w:tcW w:w="557" w:type="dxa"/>
            <w:tcBorders>
              <w:top w:val="nil"/>
              <w:left w:val="single" w:sz="8" w:space="0" w:color="FFFFFF"/>
              <w:bottom w:val="nil"/>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nil"/>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15%</w:t>
            </w:r>
          </w:p>
        </w:tc>
        <w:tc>
          <w:tcPr>
            <w:tcW w:w="557" w:type="dxa"/>
            <w:tcBorders>
              <w:top w:val="nil"/>
              <w:left w:val="nil"/>
              <w:bottom w:val="nil"/>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nil"/>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15%</w:t>
            </w:r>
          </w:p>
        </w:tc>
        <w:tc>
          <w:tcPr>
            <w:tcW w:w="557" w:type="dxa"/>
            <w:tcBorders>
              <w:top w:val="nil"/>
              <w:left w:val="nil"/>
              <w:bottom w:val="nil"/>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single" w:sz="12" w:space="0" w:color="FFFFFF"/>
              <w:bottom w:val="nil"/>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15%</w:t>
            </w:r>
          </w:p>
        </w:tc>
        <w:tc>
          <w:tcPr>
            <w:tcW w:w="557" w:type="dxa"/>
            <w:tcBorders>
              <w:top w:val="nil"/>
              <w:left w:val="nil"/>
              <w:bottom w:val="nil"/>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single" w:sz="12" w:space="0" w:color="FFFFFF"/>
              <w:bottom w:val="nil"/>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15%</w:t>
            </w:r>
          </w:p>
        </w:tc>
        <w:tc>
          <w:tcPr>
            <w:tcW w:w="557" w:type="dxa"/>
            <w:tcBorders>
              <w:top w:val="nil"/>
              <w:left w:val="nil"/>
              <w:bottom w:val="nil"/>
              <w:right w:val="single" w:sz="8" w:space="0" w:color="auto"/>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single" w:sz="8" w:space="0" w:color="FFFFFF"/>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em Direitos Creditórios</w:t>
            </w:r>
          </w:p>
        </w:tc>
        <w:tc>
          <w:tcPr>
            <w:tcW w:w="983" w:type="dxa"/>
            <w:tcBorders>
              <w:top w:val="single" w:sz="8" w:space="0" w:color="FFFFFF"/>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7º, VII, "a"</w:t>
            </w:r>
          </w:p>
        </w:tc>
        <w:tc>
          <w:tcPr>
            <w:tcW w:w="1265" w:type="dxa"/>
            <w:tcBorders>
              <w:top w:val="single" w:sz="8" w:space="0" w:color="FFFFFF"/>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5%</w:t>
            </w:r>
          </w:p>
        </w:tc>
        <w:tc>
          <w:tcPr>
            <w:tcW w:w="557" w:type="dxa"/>
            <w:vMerge w:val="restart"/>
            <w:tcBorders>
              <w:top w:val="single" w:sz="8" w:space="0" w:color="FFFFFF"/>
              <w:left w:val="single" w:sz="8" w:space="0" w:color="FFFFFF"/>
              <w:bottom w:val="single" w:sz="8" w:space="0" w:color="000000"/>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15%</w:t>
            </w:r>
          </w:p>
        </w:tc>
        <w:tc>
          <w:tcPr>
            <w:tcW w:w="699" w:type="dxa"/>
            <w:tcBorders>
              <w:top w:val="single" w:sz="8" w:space="0" w:color="FFFFFF"/>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5%</w:t>
            </w:r>
          </w:p>
        </w:tc>
        <w:tc>
          <w:tcPr>
            <w:tcW w:w="557" w:type="dxa"/>
            <w:vMerge w:val="restart"/>
            <w:tcBorders>
              <w:top w:val="single" w:sz="8" w:space="0" w:color="FFFFFF"/>
              <w:left w:val="single" w:sz="8" w:space="0" w:color="FFFFFF"/>
              <w:bottom w:val="single" w:sz="8" w:space="0" w:color="000000"/>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20%</w:t>
            </w:r>
          </w:p>
        </w:tc>
        <w:tc>
          <w:tcPr>
            <w:tcW w:w="699" w:type="dxa"/>
            <w:tcBorders>
              <w:top w:val="single" w:sz="8" w:space="0" w:color="FFFFFF"/>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w:t>
            </w:r>
          </w:p>
        </w:tc>
        <w:tc>
          <w:tcPr>
            <w:tcW w:w="557" w:type="dxa"/>
            <w:vMerge w:val="restart"/>
            <w:tcBorders>
              <w:top w:val="single" w:sz="8" w:space="0" w:color="FFFFFF"/>
              <w:left w:val="single" w:sz="8" w:space="0" w:color="FFFFFF"/>
              <w:bottom w:val="single" w:sz="8" w:space="0" w:color="000000"/>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25%</w:t>
            </w:r>
          </w:p>
        </w:tc>
        <w:tc>
          <w:tcPr>
            <w:tcW w:w="557" w:type="dxa"/>
            <w:tcBorders>
              <w:top w:val="single" w:sz="8" w:space="0" w:color="FFFFFF"/>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15%</w:t>
            </w:r>
          </w:p>
        </w:tc>
        <w:tc>
          <w:tcPr>
            <w:tcW w:w="557" w:type="dxa"/>
            <w:vMerge w:val="restart"/>
            <w:tcBorders>
              <w:top w:val="single" w:sz="8" w:space="0" w:color="FFFFFF"/>
              <w:left w:val="single" w:sz="8" w:space="0" w:color="FFFFFF"/>
              <w:bottom w:val="single" w:sz="8" w:space="0" w:color="000000"/>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30%</w:t>
            </w:r>
          </w:p>
        </w:tc>
        <w:tc>
          <w:tcPr>
            <w:tcW w:w="699" w:type="dxa"/>
            <w:tcBorders>
              <w:top w:val="single" w:sz="8" w:space="0" w:color="FFFFFF"/>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20%</w:t>
            </w:r>
          </w:p>
        </w:tc>
        <w:tc>
          <w:tcPr>
            <w:tcW w:w="557" w:type="dxa"/>
            <w:vMerge w:val="restart"/>
            <w:tcBorders>
              <w:top w:val="single" w:sz="8" w:space="0" w:color="FFFFFF"/>
              <w:left w:val="single" w:sz="8" w:space="0" w:color="FFFFFF"/>
              <w:bottom w:val="single" w:sz="8" w:space="0" w:color="000000"/>
              <w:right w:val="single" w:sz="8" w:space="0" w:color="auto"/>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35%</w:t>
            </w: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Renda Fixa "Crédito Privado"</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7º, VII, "b"</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5%</w:t>
            </w:r>
          </w:p>
        </w:tc>
        <w:tc>
          <w:tcPr>
            <w:tcW w:w="557" w:type="dxa"/>
            <w:vMerge/>
            <w:tcBorders>
              <w:top w:val="single" w:sz="8" w:space="0" w:color="FFFFFF"/>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w:t>
            </w:r>
          </w:p>
        </w:tc>
        <w:tc>
          <w:tcPr>
            <w:tcW w:w="557" w:type="dxa"/>
            <w:vMerge/>
            <w:tcBorders>
              <w:top w:val="single" w:sz="8" w:space="0" w:color="FFFFFF"/>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15%</w:t>
            </w:r>
          </w:p>
        </w:tc>
        <w:tc>
          <w:tcPr>
            <w:tcW w:w="557" w:type="dxa"/>
            <w:vMerge/>
            <w:tcBorders>
              <w:top w:val="single" w:sz="8" w:space="0" w:color="FFFFFF"/>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20%</w:t>
            </w:r>
          </w:p>
        </w:tc>
        <w:tc>
          <w:tcPr>
            <w:tcW w:w="557" w:type="dxa"/>
            <w:vMerge/>
            <w:tcBorders>
              <w:top w:val="single" w:sz="8" w:space="0" w:color="FFFFFF"/>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25%</w:t>
            </w:r>
          </w:p>
        </w:tc>
        <w:tc>
          <w:tcPr>
            <w:tcW w:w="557" w:type="dxa"/>
            <w:vMerge/>
            <w:tcBorders>
              <w:top w:val="single" w:sz="8" w:space="0" w:color="FFFFFF"/>
              <w:left w:val="single" w:sz="8" w:space="0" w:color="FFFFFF"/>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8" w:space="0" w:color="auto"/>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de Debêntures Infraestrutura</w:t>
            </w:r>
          </w:p>
        </w:tc>
        <w:tc>
          <w:tcPr>
            <w:tcW w:w="983" w:type="dxa"/>
            <w:tcBorders>
              <w:top w:val="nil"/>
              <w:left w:val="nil"/>
              <w:bottom w:val="single" w:sz="8" w:space="0" w:color="auto"/>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7º, VII, "c"</w:t>
            </w:r>
          </w:p>
        </w:tc>
        <w:tc>
          <w:tcPr>
            <w:tcW w:w="1265" w:type="dxa"/>
            <w:tcBorders>
              <w:top w:val="nil"/>
              <w:left w:val="nil"/>
              <w:bottom w:val="single" w:sz="8" w:space="0" w:color="auto"/>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5%</w:t>
            </w:r>
          </w:p>
        </w:tc>
        <w:tc>
          <w:tcPr>
            <w:tcW w:w="557" w:type="dxa"/>
            <w:vMerge/>
            <w:tcBorders>
              <w:top w:val="single" w:sz="8" w:space="0" w:color="FFFFFF"/>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8" w:space="0" w:color="auto"/>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5%</w:t>
            </w:r>
          </w:p>
        </w:tc>
        <w:tc>
          <w:tcPr>
            <w:tcW w:w="557" w:type="dxa"/>
            <w:vMerge/>
            <w:tcBorders>
              <w:top w:val="single" w:sz="8" w:space="0" w:color="FFFFFF"/>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8" w:space="0" w:color="auto"/>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w:t>
            </w:r>
          </w:p>
        </w:tc>
        <w:tc>
          <w:tcPr>
            <w:tcW w:w="557" w:type="dxa"/>
            <w:vMerge/>
            <w:tcBorders>
              <w:top w:val="single" w:sz="8" w:space="0" w:color="FFFFFF"/>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557" w:type="dxa"/>
            <w:tcBorders>
              <w:top w:val="nil"/>
              <w:left w:val="single" w:sz="12" w:space="0" w:color="FFFFFF"/>
              <w:bottom w:val="single" w:sz="8" w:space="0" w:color="auto"/>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15%</w:t>
            </w:r>
          </w:p>
        </w:tc>
        <w:tc>
          <w:tcPr>
            <w:tcW w:w="557" w:type="dxa"/>
            <w:vMerge/>
            <w:tcBorders>
              <w:top w:val="single" w:sz="8" w:space="0" w:color="FFFFFF"/>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8" w:space="0" w:color="auto"/>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20%</w:t>
            </w:r>
          </w:p>
        </w:tc>
        <w:tc>
          <w:tcPr>
            <w:tcW w:w="557" w:type="dxa"/>
            <w:vMerge/>
            <w:tcBorders>
              <w:top w:val="single" w:sz="8" w:space="0" w:color="FFFFFF"/>
              <w:left w:val="single" w:sz="8" w:space="0" w:color="FFFFFF"/>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r>
      <w:tr w:rsidR="000F3E71" w:rsidRPr="00B033CD" w:rsidTr="000F3E71">
        <w:trPr>
          <w:trHeight w:val="162"/>
        </w:trPr>
        <w:tc>
          <w:tcPr>
            <w:tcW w:w="317" w:type="dxa"/>
            <w:tcBorders>
              <w:top w:val="nil"/>
              <w:left w:val="nil"/>
              <w:bottom w:val="nil"/>
              <w:right w:val="nil"/>
            </w:tcBorders>
            <w:shd w:val="clear" w:color="auto" w:fill="auto"/>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p>
        </w:tc>
        <w:tc>
          <w:tcPr>
            <w:tcW w:w="2542" w:type="dxa"/>
            <w:tcBorders>
              <w:top w:val="nil"/>
              <w:left w:val="nil"/>
              <w:bottom w:val="nil"/>
              <w:right w:val="nil"/>
            </w:tcBorders>
            <w:shd w:val="clear" w:color="auto" w:fill="auto"/>
            <w:noWrap/>
            <w:vAlign w:val="bottom"/>
            <w:hideMark/>
          </w:tcPr>
          <w:p w:rsidR="00CF771B" w:rsidRPr="00B033CD" w:rsidRDefault="00CF771B" w:rsidP="00CF771B">
            <w:pPr>
              <w:spacing w:after="0" w:line="240" w:lineRule="auto"/>
              <w:rPr>
                <w:rFonts w:ascii="Arial" w:eastAsia="Times New Roman" w:hAnsi="Arial" w:cs="Arial"/>
                <w:color w:val="000000"/>
                <w:sz w:val="16"/>
                <w:szCs w:val="16"/>
                <w:lang w:eastAsia="pt-BR"/>
              </w:rPr>
            </w:pPr>
          </w:p>
        </w:tc>
        <w:tc>
          <w:tcPr>
            <w:tcW w:w="983" w:type="dxa"/>
            <w:tcBorders>
              <w:top w:val="nil"/>
              <w:left w:val="nil"/>
              <w:bottom w:val="nil"/>
              <w:right w:val="nil"/>
            </w:tcBorders>
            <w:shd w:val="clear" w:color="auto" w:fill="auto"/>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p>
        </w:tc>
        <w:tc>
          <w:tcPr>
            <w:tcW w:w="1265" w:type="dxa"/>
            <w:tcBorders>
              <w:top w:val="nil"/>
              <w:left w:val="nil"/>
              <w:bottom w:val="nil"/>
              <w:right w:val="nil"/>
            </w:tcBorders>
            <w:shd w:val="clear" w:color="auto" w:fill="auto"/>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p>
        </w:tc>
        <w:tc>
          <w:tcPr>
            <w:tcW w:w="557" w:type="dxa"/>
            <w:tcBorders>
              <w:top w:val="nil"/>
              <w:left w:val="nil"/>
              <w:bottom w:val="nil"/>
              <w:right w:val="nil"/>
            </w:tcBorders>
            <w:shd w:val="clear" w:color="auto" w:fill="auto"/>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p>
        </w:tc>
        <w:tc>
          <w:tcPr>
            <w:tcW w:w="699" w:type="dxa"/>
            <w:tcBorders>
              <w:top w:val="nil"/>
              <w:left w:val="nil"/>
              <w:bottom w:val="nil"/>
              <w:right w:val="nil"/>
            </w:tcBorders>
            <w:shd w:val="clear" w:color="auto" w:fill="auto"/>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p>
        </w:tc>
        <w:tc>
          <w:tcPr>
            <w:tcW w:w="557" w:type="dxa"/>
            <w:tcBorders>
              <w:top w:val="nil"/>
              <w:left w:val="nil"/>
              <w:bottom w:val="nil"/>
              <w:right w:val="nil"/>
            </w:tcBorders>
            <w:shd w:val="clear" w:color="auto" w:fill="auto"/>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p>
        </w:tc>
        <w:tc>
          <w:tcPr>
            <w:tcW w:w="699" w:type="dxa"/>
            <w:tcBorders>
              <w:top w:val="nil"/>
              <w:left w:val="nil"/>
              <w:bottom w:val="nil"/>
              <w:right w:val="nil"/>
            </w:tcBorders>
            <w:shd w:val="clear" w:color="auto" w:fill="auto"/>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p>
        </w:tc>
        <w:tc>
          <w:tcPr>
            <w:tcW w:w="557" w:type="dxa"/>
            <w:tcBorders>
              <w:top w:val="nil"/>
              <w:left w:val="nil"/>
              <w:bottom w:val="nil"/>
              <w:right w:val="nil"/>
            </w:tcBorders>
            <w:shd w:val="clear" w:color="auto" w:fill="auto"/>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p>
        </w:tc>
        <w:tc>
          <w:tcPr>
            <w:tcW w:w="557" w:type="dxa"/>
            <w:tcBorders>
              <w:top w:val="nil"/>
              <w:left w:val="nil"/>
              <w:bottom w:val="nil"/>
              <w:right w:val="nil"/>
            </w:tcBorders>
            <w:shd w:val="clear" w:color="auto" w:fill="auto"/>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p>
        </w:tc>
        <w:tc>
          <w:tcPr>
            <w:tcW w:w="557" w:type="dxa"/>
            <w:tcBorders>
              <w:top w:val="nil"/>
              <w:left w:val="nil"/>
              <w:bottom w:val="nil"/>
              <w:right w:val="nil"/>
            </w:tcBorders>
            <w:shd w:val="clear" w:color="auto" w:fill="auto"/>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p>
        </w:tc>
        <w:tc>
          <w:tcPr>
            <w:tcW w:w="699" w:type="dxa"/>
            <w:tcBorders>
              <w:top w:val="nil"/>
              <w:left w:val="nil"/>
              <w:bottom w:val="nil"/>
              <w:right w:val="nil"/>
            </w:tcBorders>
            <w:shd w:val="clear" w:color="auto" w:fill="auto"/>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p>
        </w:tc>
        <w:tc>
          <w:tcPr>
            <w:tcW w:w="557" w:type="dxa"/>
            <w:tcBorders>
              <w:top w:val="nil"/>
              <w:left w:val="nil"/>
              <w:bottom w:val="nil"/>
              <w:right w:val="nil"/>
            </w:tcBorders>
            <w:shd w:val="clear" w:color="auto" w:fill="auto"/>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p>
        </w:tc>
      </w:tr>
      <w:tr w:rsidR="000F3E71" w:rsidRPr="00B033CD" w:rsidTr="000F3E71">
        <w:trPr>
          <w:trHeight w:val="402"/>
        </w:trPr>
        <w:tc>
          <w:tcPr>
            <w:tcW w:w="317"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RENDA VARIÁVEL</w:t>
            </w:r>
          </w:p>
        </w:tc>
        <w:tc>
          <w:tcPr>
            <w:tcW w:w="2542" w:type="dxa"/>
            <w:tcBorders>
              <w:top w:val="single" w:sz="8" w:space="0" w:color="auto"/>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em Renda Variável</w:t>
            </w:r>
          </w:p>
        </w:tc>
        <w:tc>
          <w:tcPr>
            <w:tcW w:w="983" w:type="dxa"/>
            <w:tcBorders>
              <w:top w:val="single" w:sz="8" w:space="0" w:color="auto"/>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8º, I, "a"</w:t>
            </w:r>
          </w:p>
        </w:tc>
        <w:tc>
          <w:tcPr>
            <w:tcW w:w="1265" w:type="dxa"/>
            <w:tcBorders>
              <w:top w:val="single" w:sz="8" w:space="0" w:color="auto"/>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30%</w:t>
            </w:r>
          </w:p>
        </w:tc>
        <w:tc>
          <w:tcPr>
            <w:tcW w:w="557" w:type="dxa"/>
            <w:vMerge w:val="restart"/>
            <w:tcBorders>
              <w:top w:val="single" w:sz="8" w:space="0" w:color="auto"/>
              <w:left w:val="single" w:sz="8" w:space="0" w:color="FFFFFF"/>
              <w:bottom w:val="single" w:sz="8" w:space="0" w:color="000000"/>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30%</w:t>
            </w:r>
          </w:p>
        </w:tc>
        <w:tc>
          <w:tcPr>
            <w:tcW w:w="699" w:type="dxa"/>
            <w:tcBorders>
              <w:top w:val="single" w:sz="8" w:space="0" w:color="auto"/>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35%</w:t>
            </w:r>
          </w:p>
        </w:tc>
        <w:tc>
          <w:tcPr>
            <w:tcW w:w="557" w:type="dxa"/>
            <w:vMerge w:val="restart"/>
            <w:tcBorders>
              <w:top w:val="single" w:sz="8" w:space="0" w:color="auto"/>
              <w:left w:val="single" w:sz="8" w:space="0" w:color="FFFFFF"/>
              <w:bottom w:val="single" w:sz="8" w:space="0" w:color="000000"/>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35%</w:t>
            </w:r>
          </w:p>
        </w:tc>
        <w:tc>
          <w:tcPr>
            <w:tcW w:w="699" w:type="dxa"/>
            <w:tcBorders>
              <w:top w:val="single" w:sz="8" w:space="0" w:color="auto"/>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40%</w:t>
            </w:r>
          </w:p>
        </w:tc>
        <w:tc>
          <w:tcPr>
            <w:tcW w:w="557" w:type="dxa"/>
            <w:vMerge w:val="restart"/>
            <w:tcBorders>
              <w:top w:val="single" w:sz="8" w:space="0" w:color="auto"/>
              <w:left w:val="single" w:sz="8" w:space="0" w:color="FFFFFF"/>
              <w:bottom w:val="single" w:sz="8" w:space="0" w:color="000000"/>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40%</w:t>
            </w:r>
          </w:p>
        </w:tc>
        <w:tc>
          <w:tcPr>
            <w:tcW w:w="557" w:type="dxa"/>
            <w:tcBorders>
              <w:top w:val="single" w:sz="8" w:space="0" w:color="auto"/>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45%</w:t>
            </w:r>
          </w:p>
        </w:tc>
        <w:tc>
          <w:tcPr>
            <w:tcW w:w="557" w:type="dxa"/>
            <w:vMerge w:val="restart"/>
            <w:tcBorders>
              <w:top w:val="single" w:sz="8" w:space="0" w:color="auto"/>
              <w:left w:val="single" w:sz="8" w:space="0" w:color="FFFFFF"/>
              <w:bottom w:val="single" w:sz="8" w:space="0" w:color="000000"/>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45%</w:t>
            </w:r>
          </w:p>
        </w:tc>
        <w:tc>
          <w:tcPr>
            <w:tcW w:w="699" w:type="dxa"/>
            <w:tcBorders>
              <w:top w:val="single" w:sz="8" w:space="0" w:color="auto"/>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50%</w:t>
            </w:r>
          </w:p>
        </w:tc>
        <w:tc>
          <w:tcPr>
            <w:tcW w:w="557" w:type="dxa"/>
            <w:vMerge w:val="restart"/>
            <w:tcBorders>
              <w:top w:val="single" w:sz="8" w:space="0" w:color="auto"/>
              <w:left w:val="single" w:sz="8" w:space="0" w:color="FFFFFF"/>
              <w:bottom w:val="single" w:sz="8" w:space="0" w:color="000000"/>
              <w:right w:val="single" w:sz="8" w:space="0" w:color="auto"/>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45%</w:t>
            </w: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de Índices em RV (ETF - índice 50 ações)</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8º, I, "b"</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30%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35%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40%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45%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50%</w:t>
            </w:r>
          </w:p>
        </w:tc>
        <w:tc>
          <w:tcPr>
            <w:tcW w:w="557" w:type="dxa"/>
            <w:vMerge/>
            <w:tcBorders>
              <w:top w:val="single" w:sz="8" w:space="0" w:color="auto"/>
              <w:left w:val="single" w:sz="8" w:space="0" w:color="FFFFFF"/>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em Ações</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8º, II, "a"</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20%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25%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30%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35%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40%</w:t>
            </w:r>
          </w:p>
        </w:tc>
        <w:tc>
          <w:tcPr>
            <w:tcW w:w="557" w:type="dxa"/>
            <w:vMerge/>
            <w:tcBorders>
              <w:top w:val="single" w:sz="8" w:space="0" w:color="auto"/>
              <w:left w:val="single" w:sz="8" w:space="0" w:color="FFFFFF"/>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em Índices de Ações (ETF - índices em geral)</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8º, II, "b"</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20%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25%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30%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35%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40%</w:t>
            </w:r>
          </w:p>
        </w:tc>
        <w:tc>
          <w:tcPr>
            <w:tcW w:w="557" w:type="dxa"/>
            <w:vMerge/>
            <w:tcBorders>
              <w:top w:val="single" w:sz="8" w:space="0" w:color="auto"/>
              <w:left w:val="single" w:sz="8" w:space="0" w:color="FFFFFF"/>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Multimercado</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8º, III</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15%</w:t>
            </w:r>
          </w:p>
        </w:tc>
        <w:tc>
          <w:tcPr>
            <w:tcW w:w="557" w:type="dxa"/>
            <w:vMerge/>
            <w:tcBorders>
              <w:top w:val="single" w:sz="8" w:space="0" w:color="auto"/>
              <w:left w:val="single" w:sz="8" w:space="0" w:color="FFFFFF"/>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em Participações</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8º, IV, "a"</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15%</w:t>
            </w:r>
          </w:p>
        </w:tc>
        <w:tc>
          <w:tcPr>
            <w:tcW w:w="557" w:type="dxa"/>
            <w:vMerge/>
            <w:tcBorders>
              <w:top w:val="single" w:sz="8" w:space="0" w:color="auto"/>
              <w:left w:val="single" w:sz="8" w:space="0" w:color="FFFFFF"/>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Imobiliário</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8º, IV, "b"</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20%</w:t>
            </w:r>
          </w:p>
        </w:tc>
        <w:tc>
          <w:tcPr>
            <w:tcW w:w="557" w:type="dxa"/>
            <w:vMerge/>
            <w:tcBorders>
              <w:top w:val="single" w:sz="8" w:space="0" w:color="auto"/>
              <w:left w:val="single" w:sz="8" w:space="0" w:color="FFFFFF"/>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r>
      <w:tr w:rsidR="000F3E71" w:rsidRPr="00B033CD" w:rsidTr="000F3E71">
        <w:trPr>
          <w:trHeight w:val="402"/>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8" w:space="0" w:color="auto"/>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Ações - Mercado de Acesso</w:t>
            </w:r>
          </w:p>
        </w:tc>
        <w:tc>
          <w:tcPr>
            <w:tcW w:w="983" w:type="dxa"/>
            <w:tcBorders>
              <w:top w:val="nil"/>
              <w:left w:val="nil"/>
              <w:bottom w:val="single" w:sz="8" w:space="0" w:color="auto"/>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8º, IV, "c"</w:t>
            </w:r>
          </w:p>
        </w:tc>
        <w:tc>
          <w:tcPr>
            <w:tcW w:w="1265" w:type="dxa"/>
            <w:tcBorders>
              <w:top w:val="nil"/>
              <w:left w:val="nil"/>
              <w:bottom w:val="single" w:sz="8" w:space="0" w:color="auto"/>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8" w:space="0" w:color="auto"/>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8" w:space="0" w:color="auto"/>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5%</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557" w:type="dxa"/>
            <w:tcBorders>
              <w:top w:val="nil"/>
              <w:left w:val="single" w:sz="12" w:space="0" w:color="FFFFFF"/>
              <w:bottom w:val="single" w:sz="8" w:space="0" w:color="auto"/>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8" w:space="0" w:color="auto"/>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15%</w:t>
            </w:r>
          </w:p>
        </w:tc>
        <w:tc>
          <w:tcPr>
            <w:tcW w:w="557" w:type="dxa"/>
            <w:vMerge/>
            <w:tcBorders>
              <w:top w:val="single" w:sz="8" w:space="0" w:color="auto"/>
              <w:left w:val="single" w:sz="8" w:space="0" w:color="FFFFFF"/>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r>
      <w:tr w:rsidR="000F3E71" w:rsidRPr="00B033CD" w:rsidTr="000F3E71">
        <w:trPr>
          <w:trHeight w:val="162"/>
        </w:trPr>
        <w:tc>
          <w:tcPr>
            <w:tcW w:w="317" w:type="dxa"/>
            <w:tcBorders>
              <w:top w:val="nil"/>
              <w:left w:val="nil"/>
              <w:bottom w:val="nil"/>
              <w:right w:val="nil"/>
            </w:tcBorders>
            <w:shd w:val="clear" w:color="000000" w:fill="FFFFFF"/>
            <w:noWrap/>
            <w:vAlign w:val="bottom"/>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 </w:t>
            </w:r>
          </w:p>
        </w:tc>
        <w:tc>
          <w:tcPr>
            <w:tcW w:w="2542" w:type="dxa"/>
            <w:tcBorders>
              <w:top w:val="nil"/>
              <w:left w:val="nil"/>
              <w:bottom w:val="nil"/>
              <w:right w:val="nil"/>
            </w:tcBorders>
            <w:shd w:val="clear" w:color="000000" w:fill="FFFFFF"/>
            <w:noWrap/>
            <w:vAlign w:val="bottom"/>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983" w:type="dxa"/>
            <w:tcBorders>
              <w:top w:val="nil"/>
              <w:left w:val="nil"/>
              <w:bottom w:val="nil"/>
              <w:right w:val="nil"/>
            </w:tcBorders>
            <w:shd w:val="clear" w:color="000000" w:fill="FFFFFF"/>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1265" w:type="dxa"/>
            <w:tcBorders>
              <w:top w:val="nil"/>
              <w:left w:val="nil"/>
              <w:bottom w:val="nil"/>
              <w:right w:val="nil"/>
            </w:tcBorders>
            <w:shd w:val="clear" w:color="000000" w:fill="FFFFFF"/>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nil"/>
              <w:bottom w:val="nil"/>
              <w:right w:val="nil"/>
            </w:tcBorders>
            <w:shd w:val="clear" w:color="000000" w:fill="FFFFFF"/>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nil"/>
              <w:bottom w:val="nil"/>
              <w:right w:val="nil"/>
            </w:tcBorders>
            <w:shd w:val="clear" w:color="000000" w:fill="FFFFFF"/>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nil"/>
              <w:bottom w:val="nil"/>
              <w:right w:val="nil"/>
            </w:tcBorders>
            <w:shd w:val="clear" w:color="000000" w:fill="FFFFFF"/>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nil"/>
              <w:bottom w:val="nil"/>
              <w:right w:val="nil"/>
            </w:tcBorders>
            <w:shd w:val="clear" w:color="000000" w:fill="FFFFFF"/>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nil"/>
              <w:bottom w:val="nil"/>
              <w:right w:val="nil"/>
            </w:tcBorders>
            <w:shd w:val="clear" w:color="000000" w:fill="FFFFFF"/>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nil"/>
              <w:bottom w:val="nil"/>
              <w:right w:val="nil"/>
            </w:tcBorders>
            <w:shd w:val="clear" w:color="000000" w:fill="FFFFFF"/>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nil"/>
              <w:bottom w:val="nil"/>
              <w:right w:val="nil"/>
            </w:tcBorders>
            <w:shd w:val="clear" w:color="000000" w:fill="FFFFFF"/>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699" w:type="dxa"/>
            <w:tcBorders>
              <w:top w:val="nil"/>
              <w:left w:val="nil"/>
              <w:bottom w:val="nil"/>
              <w:right w:val="nil"/>
            </w:tcBorders>
            <w:shd w:val="clear" w:color="000000" w:fill="FFFFFF"/>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c>
          <w:tcPr>
            <w:tcW w:w="557" w:type="dxa"/>
            <w:tcBorders>
              <w:top w:val="nil"/>
              <w:left w:val="nil"/>
              <w:bottom w:val="nil"/>
              <w:right w:val="nil"/>
            </w:tcBorders>
            <w:shd w:val="clear" w:color="000000" w:fill="FFFFFF"/>
            <w:noWrap/>
            <w:vAlign w:val="bottom"/>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 </w:t>
            </w:r>
          </w:p>
        </w:tc>
      </w:tr>
      <w:tr w:rsidR="000F3E71" w:rsidRPr="00B033CD" w:rsidTr="000F3E71">
        <w:trPr>
          <w:trHeight w:val="480"/>
        </w:trPr>
        <w:tc>
          <w:tcPr>
            <w:tcW w:w="31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FI EXTRERIOR</w:t>
            </w:r>
          </w:p>
        </w:tc>
        <w:tc>
          <w:tcPr>
            <w:tcW w:w="2542" w:type="dxa"/>
            <w:tcBorders>
              <w:top w:val="single" w:sz="8" w:space="0" w:color="auto"/>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FIC e FIC FI Renda Fixa - Dívida Externa</w:t>
            </w:r>
          </w:p>
        </w:tc>
        <w:tc>
          <w:tcPr>
            <w:tcW w:w="983" w:type="dxa"/>
            <w:tcBorders>
              <w:top w:val="single" w:sz="8" w:space="0" w:color="auto"/>
              <w:left w:val="nil"/>
              <w:bottom w:val="single" w:sz="4" w:space="0" w:color="FFFFFF"/>
              <w:right w:val="nil"/>
            </w:tcBorders>
            <w:shd w:val="clear" w:color="000000" w:fill="D8D8D8"/>
            <w:noWrap/>
            <w:vAlign w:val="center"/>
            <w:hideMark/>
          </w:tcPr>
          <w:p w:rsidR="00CF771B" w:rsidRPr="00B033CD" w:rsidRDefault="00CF771B" w:rsidP="00253E5F">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9º-A, I</w:t>
            </w:r>
          </w:p>
        </w:tc>
        <w:tc>
          <w:tcPr>
            <w:tcW w:w="1265" w:type="dxa"/>
            <w:tcBorders>
              <w:top w:val="single" w:sz="8" w:space="0" w:color="auto"/>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w:t>
            </w:r>
          </w:p>
        </w:tc>
        <w:tc>
          <w:tcPr>
            <w:tcW w:w="557" w:type="dxa"/>
            <w:vMerge w:val="restart"/>
            <w:tcBorders>
              <w:top w:val="single" w:sz="8" w:space="0" w:color="auto"/>
              <w:left w:val="single" w:sz="8" w:space="0" w:color="FFFFFF"/>
              <w:bottom w:val="single" w:sz="8" w:space="0" w:color="000000"/>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w:t>
            </w:r>
          </w:p>
        </w:tc>
        <w:tc>
          <w:tcPr>
            <w:tcW w:w="699" w:type="dxa"/>
            <w:tcBorders>
              <w:top w:val="single" w:sz="8" w:space="0" w:color="auto"/>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val="restart"/>
            <w:tcBorders>
              <w:top w:val="single" w:sz="8" w:space="0" w:color="auto"/>
              <w:left w:val="single" w:sz="8" w:space="0" w:color="FFFFFF"/>
              <w:bottom w:val="single" w:sz="8" w:space="0" w:color="000000"/>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w:t>
            </w:r>
          </w:p>
        </w:tc>
        <w:tc>
          <w:tcPr>
            <w:tcW w:w="699" w:type="dxa"/>
            <w:tcBorders>
              <w:top w:val="single" w:sz="8" w:space="0" w:color="auto"/>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val="restart"/>
            <w:tcBorders>
              <w:top w:val="single" w:sz="8" w:space="0" w:color="auto"/>
              <w:left w:val="single" w:sz="8" w:space="0" w:color="FFFFFF"/>
              <w:bottom w:val="single" w:sz="8" w:space="0" w:color="000000"/>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w:t>
            </w:r>
          </w:p>
        </w:tc>
        <w:tc>
          <w:tcPr>
            <w:tcW w:w="557" w:type="dxa"/>
            <w:tcBorders>
              <w:top w:val="single" w:sz="8" w:space="0" w:color="auto"/>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val="restart"/>
            <w:tcBorders>
              <w:top w:val="single" w:sz="8" w:space="0" w:color="auto"/>
              <w:left w:val="single" w:sz="8" w:space="0" w:color="FFFFFF"/>
              <w:bottom w:val="single" w:sz="8" w:space="0" w:color="000000"/>
              <w:right w:val="nil"/>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w:t>
            </w:r>
          </w:p>
        </w:tc>
        <w:tc>
          <w:tcPr>
            <w:tcW w:w="699" w:type="dxa"/>
            <w:tcBorders>
              <w:top w:val="single" w:sz="8" w:space="0" w:color="auto"/>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val="restart"/>
            <w:tcBorders>
              <w:top w:val="single" w:sz="8" w:space="0" w:color="auto"/>
              <w:left w:val="single" w:sz="8" w:space="0" w:color="FFFFFF"/>
              <w:bottom w:val="single" w:sz="8" w:space="0" w:color="000000"/>
              <w:right w:val="single" w:sz="8" w:space="0" w:color="auto"/>
            </w:tcBorders>
            <w:shd w:val="clear" w:color="000000" w:fill="A5A5A5"/>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w:t>
            </w:r>
          </w:p>
        </w:tc>
      </w:tr>
      <w:tr w:rsidR="000F3E71" w:rsidRPr="00B033CD" w:rsidTr="000F3E71">
        <w:trPr>
          <w:trHeight w:val="480"/>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FIC Aberto - Investimento no Exterior</w:t>
            </w:r>
          </w:p>
        </w:tc>
        <w:tc>
          <w:tcPr>
            <w:tcW w:w="983" w:type="dxa"/>
            <w:tcBorders>
              <w:top w:val="nil"/>
              <w:left w:val="nil"/>
              <w:bottom w:val="single" w:sz="4" w:space="0" w:color="FFFFFF"/>
              <w:right w:val="nil"/>
            </w:tcBorders>
            <w:shd w:val="clear" w:color="000000" w:fill="D8D8D8"/>
            <w:noWrap/>
            <w:vAlign w:val="center"/>
            <w:hideMark/>
          </w:tcPr>
          <w:p w:rsidR="00CF771B" w:rsidRPr="00B033CD" w:rsidRDefault="00CF771B" w:rsidP="00253E5F">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9º-A, II</w:t>
            </w:r>
          </w:p>
        </w:tc>
        <w:tc>
          <w:tcPr>
            <w:tcW w:w="1265" w:type="dxa"/>
            <w:tcBorders>
              <w:top w:val="nil"/>
              <w:left w:val="nil"/>
              <w:bottom w:val="single" w:sz="4" w:space="0" w:color="FFFFFF"/>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557"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4" w:space="0" w:color="FFFFFF"/>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tcBorders>
              <w:top w:val="single" w:sz="8" w:space="0" w:color="auto"/>
              <w:left w:val="single" w:sz="8" w:space="0" w:color="FFFFFF"/>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r>
      <w:tr w:rsidR="000F3E71" w:rsidRPr="00B033CD" w:rsidTr="000F3E71">
        <w:trPr>
          <w:trHeight w:val="480"/>
        </w:trPr>
        <w:tc>
          <w:tcPr>
            <w:tcW w:w="317" w:type="dxa"/>
            <w:vMerge/>
            <w:tcBorders>
              <w:top w:val="single" w:sz="8" w:space="0" w:color="auto"/>
              <w:left w:val="single" w:sz="8" w:space="0" w:color="auto"/>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2542" w:type="dxa"/>
            <w:tcBorders>
              <w:top w:val="nil"/>
              <w:left w:val="nil"/>
              <w:bottom w:val="single" w:sz="8" w:space="0" w:color="auto"/>
              <w:right w:val="nil"/>
            </w:tcBorders>
            <w:shd w:val="clear" w:color="000000" w:fill="D8D8D8"/>
            <w:noWrap/>
            <w:vAlign w:val="center"/>
            <w:hideMark/>
          </w:tcPr>
          <w:p w:rsidR="00CF771B" w:rsidRPr="00B033CD" w:rsidRDefault="00CF771B" w:rsidP="00CF771B">
            <w:pPr>
              <w:spacing w:after="0" w:line="240" w:lineRule="auto"/>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FI Ações - BDR Nível I</w:t>
            </w:r>
          </w:p>
        </w:tc>
        <w:tc>
          <w:tcPr>
            <w:tcW w:w="983" w:type="dxa"/>
            <w:tcBorders>
              <w:top w:val="nil"/>
              <w:left w:val="nil"/>
              <w:bottom w:val="single" w:sz="8" w:space="0" w:color="auto"/>
              <w:right w:val="nil"/>
            </w:tcBorders>
            <w:shd w:val="clear" w:color="000000" w:fill="D8D8D8"/>
            <w:noWrap/>
            <w:vAlign w:val="center"/>
            <w:hideMark/>
          </w:tcPr>
          <w:p w:rsidR="00CF771B" w:rsidRPr="00B033CD" w:rsidRDefault="00CF771B" w:rsidP="00253E5F">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9º-A, III</w:t>
            </w:r>
          </w:p>
        </w:tc>
        <w:tc>
          <w:tcPr>
            <w:tcW w:w="1265" w:type="dxa"/>
            <w:tcBorders>
              <w:top w:val="nil"/>
              <w:left w:val="nil"/>
              <w:bottom w:val="single" w:sz="8" w:space="0" w:color="auto"/>
              <w:right w:val="nil"/>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b/>
                <w:bCs/>
                <w:color w:val="000000"/>
                <w:sz w:val="16"/>
                <w:szCs w:val="16"/>
                <w:lang w:eastAsia="pt-BR"/>
              </w:rPr>
            </w:pPr>
            <w:r w:rsidRPr="00B033CD">
              <w:rPr>
                <w:rFonts w:ascii="Arial" w:eastAsia="Times New Roman" w:hAnsi="Arial" w:cs="Arial"/>
                <w:b/>
                <w:bCs/>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8" w:space="0" w:color="auto"/>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8" w:space="0" w:color="auto"/>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557" w:type="dxa"/>
            <w:tcBorders>
              <w:top w:val="nil"/>
              <w:left w:val="single" w:sz="12" w:space="0" w:color="FFFFFF"/>
              <w:bottom w:val="single" w:sz="8" w:space="0" w:color="auto"/>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tcBorders>
              <w:top w:val="single" w:sz="8" w:space="0" w:color="auto"/>
              <w:left w:val="single" w:sz="8" w:space="0" w:color="FFFFFF"/>
              <w:bottom w:val="single" w:sz="8" w:space="0" w:color="000000"/>
              <w:right w:val="nil"/>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c>
          <w:tcPr>
            <w:tcW w:w="699" w:type="dxa"/>
            <w:tcBorders>
              <w:top w:val="nil"/>
              <w:left w:val="single" w:sz="12" w:space="0" w:color="FFFFFF"/>
              <w:bottom w:val="single" w:sz="8" w:space="0" w:color="auto"/>
              <w:right w:val="single" w:sz="8" w:space="0" w:color="FFFFFF"/>
            </w:tcBorders>
            <w:shd w:val="clear" w:color="000000" w:fill="D8D8D8"/>
            <w:noWrap/>
            <w:vAlign w:val="center"/>
            <w:hideMark/>
          </w:tcPr>
          <w:p w:rsidR="00CF771B" w:rsidRPr="00B033CD" w:rsidRDefault="00CF771B" w:rsidP="00CF771B">
            <w:pPr>
              <w:spacing w:after="0" w:line="240" w:lineRule="auto"/>
              <w:jc w:val="center"/>
              <w:rPr>
                <w:rFonts w:ascii="Arial" w:eastAsia="Times New Roman" w:hAnsi="Arial" w:cs="Arial"/>
                <w:color w:val="000000"/>
                <w:sz w:val="16"/>
                <w:szCs w:val="16"/>
                <w:lang w:eastAsia="pt-BR"/>
              </w:rPr>
            </w:pPr>
            <w:r w:rsidRPr="00B033CD">
              <w:rPr>
                <w:rFonts w:ascii="Arial" w:eastAsia="Times New Roman" w:hAnsi="Arial" w:cs="Arial"/>
                <w:color w:val="000000"/>
                <w:sz w:val="16"/>
                <w:szCs w:val="16"/>
                <w:lang w:eastAsia="pt-BR"/>
              </w:rPr>
              <w:t>10%</w:t>
            </w:r>
          </w:p>
        </w:tc>
        <w:tc>
          <w:tcPr>
            <w:tcW w:w="557" w:type="dxa"/>
            <w:vMerge/>
            <w:tcBorders>
              <w:top w:val="single" w:sz="8" w:space="0" w:color="auto"/>
              <w:left w:val="single" w:sz="8" w:space="0" w:color="FFFFFF"/>
              <w:bottom w:val="single" w:sz="8" w:space="0" w:color="000000"/>
              <w:right w:val="single" w:sz="8" w:space="0" w:color="auto"/>
            </w:tcBorders>
            <w:vAlign w:val="center"/>
            <w:hideMark/>
          </w:tcPr>
          <w:p w:rsidR="00CF771B" w:rsidRPr="00B033CD" w:rsidRDefault="00CF771B" w:rsidP="00CF771B">
            <w:pPr>
              <w:spacing w:after="0" w:line="240" w:lineRule="auto"/>
              <w:rPr>
                <w:rFonts w:ascii="Arial" w:eastAsia="Times New Roman" w:hAnsi="Arial" w:cs="Arial"/>
                <w:b/>
                <w:bCs/>
                <w:color w:val="000000"/>
                <w:sz w:val="16"/>
                <w:szCs w:val="16"/>
                <w:lang w:eastAsia="pt-BR"/>
              </w:rPr>
            </w:pPr>
          </w:p>
        </w:tc>
      </w:tr>
    </w:tbl>
    <w:p w:rsidR="00CF771B" w:rsidRDefault="00CF771B" w:rsidP="00CF771B">
      <w:pPr>
        <w:autoSpaceDE w:val="0"/>
        <w:autoSpaceDN w:val="0"/>
        <w:adjustRightInd w:val="0"/>
        <w:spacing w:line="360" w:lineRule="auto"/>
        <w:rPr>
          <w:rFonts w:ascii="Arial Narrow" w:hAnsi="Arial Narrow" w:cs="Arial"/>
          <w:b/>
          <w:color w:val="000000"/>
          <w:szCs w:val="24"/>
        </w:rPr>
      </w:pPr>
    </w:p>
    <w:p w:rsidR="00CF771B" w:rsidRDefault="00CF771B" w:rsidP="00CF771B">
      <w:pPr>
        <w:autoSpaceDE w:val="0"/>
        <w:autoSpaceDN w:val="0"/>
        <w:adjustRightInd w:val="0"/>
        <w:spacing w:line="360" w:lineRule="auto"/>
        <w:jc w:val="center"/>
        <w:rPr>
          <w:rFonts w:ascii="Arial Narrow" w:hAnsi="Arial Narrow" w:cs="Arial"/>
          <w:b/>
          <w:color w:val="000000" w:themeColor="text1"/>
          <w:szCs w:val="24"/>
        </w:rPr>
      </w:pPr>
      <w:r>
        <w:rPr>
          <w:rFonts w:ascii="Arial Narrow" w:hAnsi="Arial Narrow" w:cs="Arial"/>
          <w:b/>
          <w:color w:val="000000"/>
          <w:szCs w:val="24"/>
        </w:rPr>
        <w:lastRenderedPageBreak/>
        <w:t xml:space="preserve">ESTRATÉGIA DE ALOCAÇÃO </w:t>
      </w:r>
      <w:r w:rsidRPr="007149FA">
        <w:rPr>
          <w:rFonts w:ascii="Arial Narrow" w:hAnsi="Arial Narrow" w:cs="Arial"/>
          <w:b/>
          <w:color w:val="000000"/>
          <w:szCs w:val="24"/>
        </w:rPr>
        <w:t>CONFORME RESOLUÇÃO 3.922/</w:t>
      </w:r>
      <w:r>
        <w:rPr>
          <w:rFonts w:ascii="Arial Narrow" w:hAnsi="Arial Narrow" w:cs="Arial"/>
          <w:b/>
          <w:color w:val="000000"/>
          <w:szCs w:val="24"/>
        </w:rPr>
        <w:t xml:space="preserve"> </w:t>
      </w:r>
      <w:r w:rsidRPr="007149FA">
        <w:rPr>
          <w:rFonts w:ascii="Arial Narrow" w:hAnsi="Arial Narrow" w:cs="Arial"/>
          <w:b/>
          <w:color w:val="000000"/>
          <w:szCs w:val="24"/>
        </w:rPr>
        <w:t>2010 E 4.</w:t>
      </w:r>
      <w:r w:rsidRPr="007C3380">
        <w:rPr>
          <w:rFonts w:ascii="Arial Narrow" w:hAnsi="Arial Narrow" w:cs="Arial"/>
          <w:b/>
          <w:color w:val="000000" w:themeColor="text1"/>
          <w:szCs w:val="24"/>
        </w:rPr>
        <w:t>695/</w:t>
      </w:r>
      <w:r>
        <w:rPr>
          <w:rFonts w:ascii="Arial Narrow" w:hAnsi="Arial Narrow" w:cs="Arial"/>
          <w:b/>
          <w:color w:val="000000" w:themeColor="text1"/>
          <w:szCs w:val="24"/>
        </w:rPr>
        <w:t xml:space="preserve"> 201</w:t>
      </w:r>
      <w:r w:rsidRPr="007C3380">
        <w:rPr>
          <w:rFonts w:ascii="Arial Narrow" w:hAnsi="Arial Narrow" w:cs="Arial"/>
          <w:b/>
          <w:color w:val="000000" w:themeColor="text1"/>
          <w:szCs w:val="24"/>
        </w:rPr>
        <w:t>8</w:t>
      </w:r>
    </w:p>
    <w:tbl>
      <w:tblPr>
        <w:tblW w:w="10875" w:type="dxa"/>
        <w:tblInd w:w="-1206" w:type="dxa"/>
        <w:tblCellMar>
          <w:left w:w="70" w:type="dxa"/>
          <w:right w:w="70" w:type="dxa"/>
        </w:tblCellMar>
        <w:tblLook w:val="04A0" w:firstRow="1" w:lastRow="0" w:firstColumn="1" w:lastColumn="0" w:noHBand="0" w:noVBand="1"/>
      </w:tblPr>
      <w:tblGrid>
        <w:gridCol w:w="460"/>
        <w:gridCol w:w="3510"/>
        <w:gridCol w:w="1418"/>
        <w:gridCol w:w="1417"/>
        <w:gridCol w:w="1134"/>
        <w:gridCol w:w="1276"/>
        <w:gridCol w:w="1660"/>
      </w:tblGrid>
      <w:tr w:rsidR="00CF771B" w:rsidRPr="003844FE" w:rsidTr="003844FE">
        <w:trPr>
          <w:trHeight w:val="430"/>
        </w:trPr>
        <w:tc>
          <w:tcPr>
            <w:tcW w:w="460"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rPr>
                <w:rFonts w:eastAsia="Times New Roman" w:cs="Calibri"/>
                <w:color w:val="000000"/>
                <w:sz w:val="16"/>
                <w:szCs w:val="16"/>
                <w:lang w:eastAsia="pt-BR"/>
              </w:rPr>
            </w:pPr>
          </w:p>
        </w:tc>
        <w:tc>
          <w:tcPr>
            <w:tcW w:w="3510" w:type="dxa"/>
            <w:tcBorders>
              <w:top w:val="single" w:sz="8" w:space="0" w:color="auto"/>
              <w:left w:val="single" w:sz="8" w:space="0" w:color="auto"/>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TIPO DE ATIVO</w:t>
            </w:r>
          </w:p>
        </w:tc>
        <w:tc>
          <w:tcPr>
            <w:tcW w:w="1418" w:type="dxa"/>
            <w:tcBorders>
              <w:top w:val="single" w:sz="8" w:space="0" w:color="auto"/>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ARTIGO</w:t>
            </w:r>
          </w:p>
        </w:tc>
        <w:tc>
          <w:tcPr>
            <w:tcW w:w="1417" w:type="dxa"/>
            <w:tcBorders>
              <w:top w:val="single" w:sz="8" w:space="0" w:color="auto"/>
              <w:left w:val="nil"/>
              <w:bottom w:val="single" w:sz="8" w:space="0" w:color="auto"/>
              <w:right w:val="nil"/>
            </w:tcBorders>
            <w:shd w:val="clear" w:color="auto" w:fill="auto"/>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xml:space="preserve">LIMITE DA </w:t>
            </w:r>
            <w:r w:rsidRPr="003844FE">
              <w:rPr>
                <w:rFonts w:ascii="Arial" w:eastAsia="Times New Roman" w:hAnsi="Arial" w:cs="Arial"/>
                <w:b/>
                <w:bCs/>
                <w:color w:val="000000"/>
                <w:sz w:val="16"/>
                <w:szCs w:val="16"/>
                <w:lang w:eastAsia="pt-BR"/>
              </w:rPr>
              <w:br/>
              <w:t>RESOLUÇÃO</w:t>
            </w:r>
          </w:p>
        </w:tc>
        <w:tc>
          <w:tcPr>
            <w:tcW w:w="1134" w:type="dxa"/>
            <w:tcBorders>
              <w:top w:val="single" w:sz="8" w:space="0" w:color="auto"/>
              <w:left w:val="nil"/>
              <w:bottom w:val="single" w:sz="8" w:space="0" w:color="auto"/>
              <w:right w:val="nil"/>
            </w:tcBorders>
            <w:shd w:val="clear" w:color="auto" w:fill="auto"/>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xml:space="preserve">LIMITE </w:t>
            </w:r>
            <w:r w:rsidRPr="003844FE">
              <w:rPr>
                <w:rFonts w:ascii="Arial" w:eastAsia="Times New Roman" w:hAnsi="Arial" w:cs="Arial"/>
                <w:b/>
                <w:bCs/>
                <w:color w:val="000000"/>
                <w:sz w:val="16"/>
                <w:szCs w:val="16"/>
                <w:lang w:eastAsia="pt-BR"/>
              </w:rPr>
              <w:br/>
              <w:t>INFERIOR</w:t>
            </w:r>
          </w:p>
        </w:tc>
        <w:tc>
          <w:tcPr>
            <w:tcW w:w="1276" w:type="dxa"/>
            <w:tcBorders>
              <w:top w:val="single" w:sz="8" w:space="0" w:color="auto"/>
              <w:left w:val="nil"/>
              <w:bottom w:val="single" w:sz="8" w:space="0" w:color="auto"/>
              <w:right w:val="nil"/>
            </w:tcBorders>
            <w:shd w:val="clear" w:color="auto" w:fill="auto"/>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xml:space="preserve">ESTRATÉGIA </w:t>
            </w:r>
            <w:r w:rsidRPr="003844FE">
              <w:rPr>
                <w:rFonts w:ascii="Arial" w:eastAsia="Times New Roman" w:hAnsi="Arial" w:cs="Arial"/>
                <w:b/>
                <w:bCs/>
                <w:color w:val="000000"/>
                <w:sz w:val="16"/>
                <w:szCs w:val="16"/>
                <w:lang w:eastAsia="pt-BR"/>
              </w:rPr>
              <w:br/>
              <w:t>ALVO</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xml:space="preserve">LIMITE </w:t>
            </w:r>
            <w:r w:rsidRPr="003844FE">
              <w:rPr>
                <w:rFonts w:ascii="Arial" w:eastAsia="Times New Roman" w:hAnsi="Arial" w:cs="Arial"/>
                <w:b/>
                <w:bCs/>
                <w:color w:val="000000"/>
                <w:sz w:val="16"/>
                <w:szCs w:val="16"/>
                <w:lang w:eastAsia="pt-BR"/>
              </w:rPr>
              <w:br/>
              <w:t>SUPERIOR (%)</w:t>
            </w:r>
          </w:p>
        </w:tc>
      </w:tr>
      <w:tr w:rsidR="00CF771B" w:rsidRPr="003844FE" w:rsidTr="00CF771B">
        <w:trPr>
          <w:trHeight w:val="162"/>
        </w:trPr>
        <w:tc>
          <w:tcPr>
            <w:tcW w:w="460"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418"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417" w:type="dxa"/>
            <w:tcBorders>
              <w:top w:val="nil"/>
              <w:left w:val="nil"/>
              <w:bottom w:val="nil"/>
              <w:right w:val="nil"/>
            </w:tcBorders>
            <w:shd w:val="clear" w:color="auto" w:fill="auto"/>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134" w:type="dxa"/>
            <w:tcBorders>
              <w:top w:val="nil"/>
              <w:left w:val="nil"/>
              <w:bottom w:val="nil"/>
              <w:right w:val="nil"/>
            </w:tcBorders>
            <w:shd w:val="clear" w:color="auto" w:fill="auto"/>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276" w:type="dxa"/>
            <w:tcBorders>
              <w:top w:val="nil"/>
              <w:left w:val="nil"/>
              <w:bottom w:val="nil"/>
              <w:right w:val="nil"/>
            </w:tcBorders>
            <w:shd w:val="clear" w:color="auto" w:fill="auto"/>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660" w:type="dxa"/>
            <w:tcBorders>
              <w:top w:val="nil"/>
              <w:left w:val="nil"/>
              <w:bottom w:val="nil"/>
              <w:right w:val="nil"/>
            </w:tcBorders>
            <w:shd w:val="clear" w:color="auto" w:fill="auto"/>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r>
      <w:tr w:rsidR="00CF771B" w:rsidRPr="003844FE" w:rsidTr="00CF771B">
        <w:trPr>
          <w:trHeight w:val="402"/>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RENDA FIXA</w:t>
            </w:r>
          </w:p>
        </w:tc>
        <w:tc>
          <w:tcPr>
            <w:tcW w:w="3510" w:type="dxa"/>
            <w:tcBorders>
              <w:top w:val="single" w:sz="8" w:space="0" w:color="auto"/>
              <w:left w:val="nil"/>
              <w:bottom w:val="nil"/>
              <w:right w:val="nil"/>
            </w:tcBorders>
            <w:shd w:val="clear" w:color="000000" w:fill="BFBFB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Títulos Tesouro Nacional – SELIC</w:t>
            </w:r>
          </w:p>
        </w:tc>
        <w:tc>
          <w:tcPr>
            <w:tcW w:w="1418" w:type="dxa"/>
            <w:tcBorders>
              <w:top w:val="single" w:sz="8" w:space="0" w:color="auto"/>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7º, I, "a"</w:t>
            </w:r>
          </w:p>
        </w:tc>
        <w:tc>
          <w:tcPr>
            <w:tcW w:w="1417" w:type="dxa"/>
            <w:tcBorders>
              <w:top w:val="single" w:sz="8" w:space="0" w:color="auto"/>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100%</w:t>
            </w:r>
          </w:p>
        </w:tc>
        <w:tc>
          <w:tcPr>
            <w:tcW w:w="1134" w:type="dxa"/>
            <w:tcBorders>
              <w:top w:val="single" w:sz="8" w:space="0" w:color="auto"/>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single" w:sz="8" w:space="0" w:color="auto"/>
              <w:left w:val="nil"/>
              <w:bottom w:val="nil"/>
              <w:right w:val="nil"/>
            </w:tcBorders>
            <w:shd w:val="clear" w:color="000000" w:fill="BFBFBF"/>
            <w:noWrap/>
            <w:vAlign w:val="center"/>
            <w:hideMark/>
          </w:tcPr>
          <w:p w:rsidR="00CF771B" w:rsidRPr="00D24789" w:rsidRDefault="00784E27" w:rsidP="00CF771B">
            <w:pPr>
              <w:spacing w:after="0" w:line="240" w:lineRule="auto"/>
              <w:jc w:val="center"/>
              <w:rPr>
                <w:rFonts w:ascii="Arial" w:eastAsia="Times New Roman" w:hAnsi="Arial" w:cs="Arial"/>
                <w:color w:val="000000"/>
                <w:sz w:val="16"/>
                <w:szCs w:val="16"/>
                <w:lang w:eastAsia="pt-BR"/>
              </w:rPr>
            </w:pPr>
            <w:r w:rsidRPr="00D24789">
              <w:rPr>
                <w:rFonts w:ascii="Arial" w:eastAsia="Times New Roman" w:hAnsi="Arial" w:cs="Arial"/>
                <w:color w:val="000000"/>
                <w:sz w:val="16"/>
                <w:szCs w:val="16"/>
                <w:lang w:eastAsia="pt-BR"/>
              </w:rPr>
              <w:t>10,0%</w:t>
            </w:r>
          </w:p>
        </w:tc>
        <w:tc>
          <w:tcPr>
            <w:tcW w:w="1660" w:type="dxa"/>
            <w:tcBorders>
              <w:top w:val="single" w:sz="8" w:space="0" w:color="auto"/>
              <w:left w:val="nil"/>
              <w:bottom w:val="nil"/>
              <w:right w:val="single" w:sz="8" w:space="0" w:color="auto"/>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100%</w:t>
            </w:r>
          </w:p>
        </w:tc>
      </w:tr>
      <w:tr w:rsidR="00CF771B" w:rsidRPr="003844FE" w:rsidTr="003844FE">
        <w:trPr>
          <w:trHeight w:val="346"/>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Referenciados em 100% títulos TN</w:t>
            </w:r>
          </w:p>
        </w:tc>
        <w:tc>
          <w:tcPr>
            <w:tcW w:w="1418"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7º, I, "b"</w:t>
            </w:r>
          </w:p>
        </w:tc>
        <w:tc>
          <w:tcPr>
            <w:tcW w:w="1417"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100%</w:t>
            </w:r>
          </w:p>
        </w:tc>
        <w:tc>
          <w:tcPr>
            <w:tcW w:w="1134"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auto" w:fill="auto"/>
            <w:noWrap/>
            <w:vAlign w:val="center"/>
            <w:hideMark/>
          </w:tcPr>
          <w:p w:rsidR="00CF771B" w:rsidRPr="00D24789" w:rsidRDefault="00784E27" w:rsidP="00784E27">
            <w:pPr>
              <w:spacing w:after="0" w:line="240" w:lineRule="auto"/>
              <w:jc w:val="center"/>
              <w:rPr>
                <w:rFonts w:ascii="Arial" w:eastAsia="Times New Roman" w:hAnsi="Arial" w:cs="Arial"/>
                <w:color w:val="000000"/>
                <w:sz w:val="16"/>
                <w:szCs w:val="16"/>
                <w:lang w:eastAsia="pt-BR"/>
              </w:rPr>
            </w:pPr>
            <w:r w:rsidRPr="00D24789">
              <w:rPr>
                <w:rFonts w:ascii="Arial" w:eastAsia="Times New Roman" w:hAnsi="Arial" w:cs="Arial"/>
                <w:color w:val="000000"/>
                <w:sz w:val="16"/>
                <w:szCs w:val="16"/>
                <w:lang w:eastAsia="pt-BR"/>
              </w:rPr>
              <w:t>40</w:t>
            </w:r>
            <w:r w:rsidR="00CF771B" w:rsidRPr="00D24789">
              <w:rPr>
                <w:rFonts w:ascii="Arial" w:eastAsia="Times New Roman" w:hAnsi="Arial" w:cs="Arial"/>
                <w:color w:val="000000"/>
                <w:sz w:val="16"/>
                <w:szCs w:val="16"/>
                <w:lang w:eastAsia="pt-BR"/>
              </w:rPr>
              <w:t>,0%</w:t>
            </w:r>
          </w:p>
        </w:tc>
        <w:tc>
          <w:tcPr>
            <w:tcW w:w="1660" w:type="dxa"/>
            <w:tcBorders>
              <w:top w:val="nil"/>
              <w:left w:val="nil"/>
              <w:bottom w:val="nil"/>
              <w:right w:val="single" w:sz="8" w:space="0" w:color="auto"/>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100%</w:t>
            </w:r>
          </w:p>
        </w:tc>
      </w:tr>
      <w:tr w:rsidR="00CF771B" w:rsidRPr="003844FE" w:rsidTr="003844FE">
        <w:trPr>
          <w:trHeight w:val="351"/>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xml:space="preserve">FI Ref. em Índice RF, 100% títulos </w:t>
            </w:r>
            <w:proofErr w:type="gramStart"/>
            <w:r w:rsidRPr="003844FE">
              <w:rPr>
                <w:rFonts w:ascii="Arial" w:eastAsia="Times New Roman" w:hAnsi="Arial" w:cs="Arial"/>
                <w:color w:val="000000"/>
                <w:sz w:val="16"/>
                <w:szCs w:val="16"/>
                <w:lang w:eastAsia="pt-BR"/>
              </w:rPr>
              <w:t>TN</w:t>
            </w:r>
            <w:proofErr w:type="gramEnd"/>
          </w:p>
        </w:tc>
        <w:tc>
          <w:tcPr>
            <w:tcW w:w="1418"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7º, I, "c"</w:t>
            </w:r>
          </w:p>
        </w:tc>
        <w:tc>
          <w:tcPr>
            <w:tcW w:w="1417"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100%</w:t>
            </w:r>
          </w:p>
        </w:tc>
        <w:tc>
          <w:tcPr>
            <w:tcW w:w="1134"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000000" w:fill="BFBFBF"/>
            <w:noWrap/>
            <w:vAlign w:val="center"/>
            <w:hideMark/>
          </w:tcPr>
          <w:p w:rsidR="00CF771B" w:rsidRPr="00D24789" w:rsidRDefault="005E5B32" w:rsidP="00CF771B">
            <w:pPr>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1,0%</w:t>
            </w:r>
          </w:p>
        </w:tc>
        <w:tc>
          <w:tcPr>
            <w:tcW w:w="1660" w:type="dxa"/>
            <w:tcBorders>
              <w:top w:val="nil"/>
              <w:left w:val="nil"/>
              <w:bottom w:val="nil"/>
              <w:right w:val="single" w:sz="8" w:space="0" w:color="auto"/>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100%</w:t>
            </w:r>
          </w:p>
        </w:tc>
      </w:tr>
      <w:tr w:rsidR="00CF771B" w:rsidRPr="003844FE" w:rsidTr="003844FE">
        <w:trPr>
          <w:trHeight w:val="358"/>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Operações compromissadas em títulos TN</w:t>
            </w:r>
          </w:p>
        </w:tc>
        <w:tc>
          <w:tcPr>
            <w:tcW w:w="1418"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7º, II</w:t>
            </w:r>
          </w:p>
        </w:tc>
        <w:tc>
          <w:tcPr>
            <w:tcW w:w="1417"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5%</w:t>
            </w:r>
          </w:p>
        </w:tc>
        <w:tc>
          <w:tcPr>
            <w:tcW w:w="1134"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auto" w:fill="auto"/>
            <w:noWrap/>
            <w:vAlign w:val="center"/>
            <w:hideMark/>
          </w:tcPr>
          <w:p w:rsidR="00CF771B" w:rsidRPr="00D24789" w:rsidRDefault="005E5B32" w:rsidP="00CF771B">
            <w:pPr>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1,0%</w:t>
            </w:r>
          </w:p>
        </w:tc>
        <w:tc>
          <w:tcPr>
            <w:tcW w:w="1660" w:type="dxa"/>
            <w:tcBorders>
              <w:top w:val="nil"/>
              <w:left w:val="nil"/>
              <w:bottom w:val="nil"/>
              <w:right w:val="single" w:sz="8" w:space="0" w:color="auto"/>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5%</w:t>
            </w:r>
          </w:p>
        </w:tc>
      </w:tr>
      <w:tr w:rsidR="00CF771B" w:rsidRPr="003844FE" w:rsidTr="003844FE">
        <w:trPr>
          <w:trHeight w:val="363"/>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Referenciados RF</w:t>
            </w:r>
          </w:p>
        </w:tc>
        <w:tc>
          <w:tcPr>
            <w:tcW w:w="1418"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7º, III, "a"</w:t>
            </w:r>
          </w:p>
        </w:tc>
        <w:tc>
          <w:tcPr>
            <w:tcW w:w="1417"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60%</w:t>
            </w:r>
          </w:p>
        </w:tc>
        <w:tc>
          <w:tcPr>
            <w:tcW w:w="1134"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000000" w:fill="BFBFBF"/>
            <w:noWrap/>
            <w:vAlign w:val="center"/>
            <w:hideMark/>
          </w:tcPr>
          <w:p w:rsidR="00CF771B" w:rsidRPr="00D24789" w:rsidRDefault="00D24789" w:rsidP="00CF771B">
            <w:pPr>
              <w:spacing w:after="0" w:line="240" w:lineRule="auto"/>
              <w:jc w:val="center"/>
              <w:rPr>
                <w:rFonts w:ascii="Arial" w:eastAsia="Times New Roman" w:hAnsi="Arial" w:cs="Arial"/>
                <w:color w:val="000000"/>
                <w:sz w:val="16"/>
                <w:szCs w:val="16"/>
                <w:lang w:eastAsia="pt-BR"/>
              </w:rPr>
            </w:pPr>
            <w:r w:rsidRPr="00D24789">
              <w:rPr>
                <w:rFonts w:ascii="Arial" w:eastAsia="Times New Roman" w:hAnsi="Arial" w:cs="Arial"/>
                <w:color w:val="000000"/>
                <w:sz w:val="16"/>
                <w:szCs w:val="16"/>
                <w:lang w:eastAsia="pt-BR"/>
              </w:rPr>
              <w:t>5</w:t>
            </w:r>
            <w:r w:rsidR="00CF771B" w:rsidRPr="00D24789">
              <w:rPr>
                <w:rFonts w:ascii="Arial" w:eastAsia="Times New Roman" w:hAnsi="Arial" w:cs="Arial"/>
                <w:color w:val="000000"/>
                <w:sz w:val="16"/>
                <w:szCs w:val="16"/>
                <w:lang w:eastAsia="pt-BR"/>
              </w:rPr>
              <w:t>,0%</w:t>
            </w:r>
          </w:p>
        </w:tc>
        <w:tc>
          <w:tcPr>
            <w:tcW w:w="1660" w:type="dxa"/>
            <w:tcBorders>
              <w:top w:val="nil"/>
              <w:left w:val="nil"/>
              <w:bottom w:val="nil"/>
              <w:right w:val="single" w:sz="8" w:space="0" w:color="auto"/>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60%</w:t>
            </w:r>
          </w:p>
        </w:tc>
      </w:tr>
      <w:tr w:rsidR="00CF771B" w:rsidRPr="003844FE" w:rsidTr="003844FE">
        <w:trPr>
          <w:trHeight w:val="369"/>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de Índices Referenciado RF (ETF)</w:t>
            </w:r>
          </w:p>
        </w:tc>
        <w:tc>
          <w:tcPr>
            <w:tcW w:w="1418"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7º, III, "b"</w:t>
            </w:r>
          </w:p>
        </w:tc>
        <w:tc>
          <w:tcPr>
            <w:tcW w:w="1417"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60%</w:t>
            </w:r>
          </w:p>
        </w:tc>
        <w:tc>
          <w:tcPr>
            <w:tcW w:w="1134"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auto" w:fill="auto"/>
            <w:noWrap/>
            <w:vAlign w:val="center"/>
            <w:hideMark/>
          </w:tcPr>
          <w:p w:rsidR="00CF771B" w:rsidRPr="00D24789" w:rsidRDefault="005E5B32" w:rsidP="00CF771B">
            <w:pPr>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w:t>
            </w:r>
            <w:r w:rsidR="00CF771B" w:rsidRPr="00D24789">
              <w:rPr>
                <w:rFonts w:ascii="Arial" w:eastAsia="Times New Roman" w:hAnsi="Arial" w:cs="Arial"/>
                <w:color w:val="000000"/>
                <w:sz w:val="16"/>
                <w:szCs w:val="16"/>
                <w:lang w:eastAsia="pt-BR"/>
              </w:rPr>
              <w:t>,0%</w:t>
            </w:r>
          </w:p>
        </w:tc>
        <w:tc>
          <w:tcPr>
            <w:tcW w:w="1660" w:type="dxa"/>
            <w:tcBorders>
              <w:top w:val="nil"/>
              <w:left w:val="nil"/>
              <w:bottom w:val="nil"/>
              <w:right w:val="single" w:sz="8" w:space="0" w:color="auto"/>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60%</w:t>
            </w:r>
          </w:p>
        </w:tc>
      </w:tr>
      <w:tr w:rsidR="00CF771B" w:rsidRPr="003844FE" w:rsidTr="00CF771B">
        <w:trPr>
          <w:trHeight w:val="402"/>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de Renda Fixa</w:t>
            </w:r>
          </w:p>
        </w:tc>
        <w:tc>
          <w:tcPr>
            <w:tcW w:w="1418"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7º, IV, "a"</w:t>
            </w:r>
          </w:p>
        </w:tc>
        <w:tc>
          <w:tcPr>
            <w:tcW w:w="1417"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40%</w:t>
            </w:r>
          </w:p>
        </w:tc>
        <w:tc>
          <w:tcPr>
            <w:tcW w:w="1134"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000000" w:fill="BFBFBF"/>
            <w:noWrap/>
            <w:vAlign w:val="center"/>
            <w:hideMark/>
          </w:tcPr>
          <w:p w:rsidR="00CF771B" w:rsidRPr="00D24789" w:rsidRDefault="000E37B5" w:rsidP="00CF771B">
            <w:pPr>
              <w:spacing w:after="0" w:line="240" w:lineRule="auto"/>
              <w:jc w:val="center"/>
              <w:rPr>
                <w:rFonts w:ascii="Arial" w:eastAsia="Times New Roman" w:hAnsi="Arial" w:cs="Arial"/>
                <w:color w:val="000000"/>
                <w:sz w:val="16"/>
                <w:szCs w:val="16"/>
                <w:lang w:eastAsia="pt-BR"/>
              </w:rPr>
            </w:pPr>
            <w:r w:rsidRPr="00D24789">
              <w:rPr>
                <w:rFonts w:ascii="Arial" w:eastAsia="Times New Roman" w:hAnsi="Arial" w:cs="Arial"/>
                <w:color w:val="000000"/>
                <w:sz w:val="16"/>
                <w:szCs w:val="16"/>
                <w:lang w:eastAsia="pt-BR"/>
              </w:rPr>
              <w:t>5,0</w:t>
            </w:r>
            <w:r w:rsidR="00CF771B" w:rsidRPr="00D24789">
              <w:rPr>
                <w:rFonts w:ascii="Arial" w:eastAsia="Times New Roman" w:hAnsi="Arial" w:cs="Arial"/>
                <w:color w:val="000000"/>
                <w:sz w:val="16"/>
                <w:szCs w:val="16"/>
                <w:lang w:eastAsia="pt-BR"/>
              </w:rPr>
              <w:t>%</w:t>
            </w:r>
          </w:p>
        </w:tc>
        <w:tc>
          <w:tcPr>
            <w:tcW w:w="1660" w:type="dxa"/>
            <w:tcBorders>
              <w:top w:val="nil"/>
              <w:left w:val="nil"/>
              <w:bottom w:val="nil"/>
              <w:right w:val="single" w:sz="8" w:space="0" w:color="auto"/>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40%</w:t>
            </w:r>
          </w:p>
        </w:tc>
      </w:tr>
      <w:tr w:rsidR="00CF771B" w:rsidRPr="003844FE" w:rsidTr="00CF771B">
        <w:trPr>
          <w:trHeight w:val="402"/>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de Índices Renda Fixa (ETF)</w:t>
            </w:r>
          </w:p>
        </w:tc>
        <w:tc>
          <w:tcPr>
            <w:tcW w:w="1418"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7º, IV, "b"</w:t>
            </w:r>
          </w:p>
        </w:tc>
        <w:tc>
          <w:tcPr>
            <w:tcW w:w="1417"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40%</w:t>
            </w:r>
          </w:p>
        </w:tc>
        <w:tc>
          <w:tcPr>
            <w:tcW w:w="1134"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660" w:type="dxa"/>
            <w:tcBorders>
              <w:top w:val="nil"/>
              <w:left w:val="nil"/>
              <w:bottom w:val="nil"/>
              <w:right w:val="single" w:sz="8" w:space="0" w:color="auto"/>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40%</w:t>
            </w:r>
          </w:p>
        </w:tc>
      </w:tr>
      <w:tr w:rsidR="00CF771B" w:rsidRPr="003844FE" w:rsidTr="003844FE">
        <w:trPr>
          <w:trHeight w:val="343"/>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Letras Imobiliárias Garantidas</w:t>
            </w:r>
          </w:p>
        </w:tc>
        <w:tc>
          <w:tcPr>
            <w:tcW w:w="1418"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7º, V, "b"</w:t>
            </w:r>
          </w:p>
        </w:tc>
        <w:tc>
          <w:tcPr>
            <w:tcW w:w="1417"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20%</w:t>
            </w:r>
          </w:p>
        </w:tc>
        <w:tc>
          <w:tcPr>
            <w:tcW w:w="1134"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660" w:type="dxa"/>
            <w:tcBorders>
              <w:top w:val="nil"/>
              <w:left w:val="nil"/>
              <w:bottom w:val="nil"/>
              <w:right w:val="single" w:sz="8" w:space="0" w:color="auto"/>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5%</w:t>
            </w:r>
          </w:p>
        </w:tc>
      </w:tr>
      <w:tr w:rsidR="00CF771B" w:rsidRPr="003844FE" w:rsidTr="00CF771B">
        <w:trPr>
          <w:trHeight w:val="402"/>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Certificados de Depósitos Bancários</w:t>
            </w:r>
          </w:p>
        </w:tc>
        <w:tc>
          <w:tcPr>
            <w:tcW w:w="1418"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7º, VI, "a"</w:t>
            </w:r>
          </w:p>
        </w:tc>
        <w:tc>
          <w:tcPr>
            <w:tcW w:w="1417"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15%</w:t>
            </w:r>
          </w:p>
        </w:tc>
        <w:tc>
          <w:tcPr>
            <w:tcW w:w="1134"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660" w:type="dxa"/>
            <w:tcBorders>
              <w:top w:val="nil"/>
              <w:left w:val="nil"/>
              <w:bottom w:val="nil"/>
              <w:right w:val="single" w:sz="8" w:space="0" w:color="auto"/>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15%</w:t>
            </w:r>
          </w:p>
        </w:tc>
      </w:tr>
      <w:tr w:rsidR="00CF771B" w:rsidRPr="003844FE" w:rsidTr="00CF771B">
        <w:trPr>
          <w:trHeight w:val="402"/>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Depósito em Poupança</w:t>
            </w:r>
          </w:p>
        </w:tc>
        <w:tc>
          <w:tcPr>
            <w:tcW w:w="1418"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7º, VI, "b"</w:t>
            </w:r>
          </w:p>
        </w:tc>
        <w:tc>
          <w:tcPr>
            <w:tcW w:w="1417"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15%</w:t>
            </w:r>
          </w:p>
        </w:tc>
        <w:tc>
          <w:tcPr>
            <w:tcW w:w="1134"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660" w:type="dxa"/>
            <w:tcBorders>
              <w:top w:val="nil"/>
              <w:left w:val="nil"/>
              <w:bottom w:val="nil"/>
              <w:right w:val="single" w:sz="8" w:space="0" w:color="auto"/>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5%</w:t>
            </w:r>
          </w:p>
        </w:tc>
      </w:tr>
      <w:tr w:rsidR="00CF771B" w:rsidRPr="003844FE" w:rsidTr="003844FE">
        <w:trPr>
          <w:trHeight w:val="277"/>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em Direitos Creditórios</w:t>
            </w:r>
          </w:p>
        </w:tc>
        <w:tc>
          <w:tcPr>
            <w:tcW w:w="1418"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7º, VII, "a"</w:t>
            </w:r>
          </w:p>
        </w:tc>
        <w:tc>
          <w:tcPr>
            <w:tcW w:w="1417"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5%</w:t>
            </w:r>
          </w:p>
        </w:tc>
        <w:tc>
          <w:tcPr>
            <w:tcW w:w="1134"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auto" w:fill="auto"/>
            <w:noWrap/>
            <w:vAlign w:val="center"/>
            <w:hideMark/>
          </w:tcPr>
          <w:p w:rsidR="00CF771B" w:rsidRPr="00D24789" w:rsidRDefault="00CF771B" w:rsidP="00CF771B">
            <w:pPr>
              <w:spacing w:after="0" w:line="240" w:lineRule="auto"/>
              <w:jc w:val="center"/>
              <w:rPr>
                <w:rFonts w:ascii="Arial" w:eastAsia="Times New Roman" w:hAnsi="Arial" w:cs="Arial"/>
                <w:color w:val="000000"/>
                <w:sz w:val="16"/>
                <w:szCs w:val="16"/>
                <w:lang w:eastAsia="pt-BR"/>
              </w:rPr>
            </w:pPr>
            <w:r w:rsidRPr="00D24789">
              <w:rPr>
                <w:rFonts w:ascii="Arial" w:eastAsia="Times New Roman" w:hAnsi="Arial" w:cs="Arial"/>
                <w:color w:val="000000"/>
                <w:sz w:val="16"/>
                <w:szCs w:val="16"/>
                <w:lang w:eastAsia="pt-BR"/>
              </w:rPr>
              <w:t>1,0%</w:t>
            </w:r>
          </w:p>
        </w:tc>
        <w:tc>
          <w:tcPr>
            <w:tcW w:w="1660" w:type="dxa"/>
            <w:tcBorders>
              <w:top w:val="nil"/>
              <w:left w:val="nil"/>
              <w:bottom w:val="nil"/>
              <w:right w:val="single" w:sz="8" w:space="0" w:color="auto"/>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5%</w:t>
            </w:r>
          </w:p>
        </w:tc>
      </w:tr>
      <w:tr w:rsidR="00CF771B" w:rsidRPr="003844FE" w:rsidTr="003844FE">
        <w:trPr>
          <w:trHeight w:val="265"/>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Renda Fixa "Crédito Privado"</w:t>
            </w:r>
          </w:p>
        </w:tc>
        <w:tc>
          <w:tcPr>
            <w:tcW w:w="1418"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7º, VII, "b"</w:t>
            </w:r>
          </w:p>
        </w:tc>
        <w:tc>
          <w:tcPr>
            <w:tcW w:w="1417"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5%</w:t>
            </w:r>
          </w:p>
        </w:tc>
        <w:tc>
          <w:tcPr>
            <w:tcW w:w="1134"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000000" w:fill="BFBFBF"/>
            <w:noWrap/>
            <w:vAlign w:val="center"/>
            <w:hideMark/>
          </w:tcPr>
          <w:p w:rsidR="00CF771B" w:rsidRPr="00D24789" w:rsidRDefault="00D24789" w:rsidP="00CF771B">
            <w:pPr>
              <w:spacing w:after="0" w:line="240" w:lineRule="auto"/>
              <w:jc w:val="center"/>
              <w:rPr>
                <w:rFonts w:ascii="Arial" w:eastAsia="Times New Roman" w:hAnsi="Arial" w:cs="Arial"/>
                <w:color w:val="000000"/>
                <w:sz w:val="16"/>
                <w:szCs w:val="16"/>
                <w:lang w:eastAsia="pt-BR"/>
              </w:rPr>
            </w:pPr>
            <w:r w:rsidRPr="00D24789">
              <w:rPr>
                <w:rFonts w:ascii="Arial" w:eastAsia="Times New Roman" w:hAnsi="Arial" w:cs="Arial"/>
                <w:color w:val="000000"/>
                <w:sz w:val="16"/>
                <w:szCs w:val="16"/>
                <w:lang w:eastAsia="pt-BR"/>
              </w:rPr>
              <w:t>1,0%</w:t>
            </w:r>
          </w:p>
        </w:tc>
        <w:tc>
          <w:tcPr>
            <w:tcW w:w="1660" w:type="dxa"/>
            <w:tcBorders>
              <w:top w:val="nil"/>
              <w:left w:val="nil"/>
              <w:bottom w:val="nil"/>
              <w:right w:val="single" w:sz="8" w:space="0" w:color="auto"/>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5%</w:t>
            </w:r>
          </w:p>
        </w:tc>
      </w:tr>
      <w:tr w:rsidR="00CF771B" w:rsidRPr="003844FE" w:rsidTr="003844FE">
        <w:trPr>
          <w:trHeight w:val="259"/>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de Debêntures Infraestrutura</w:t>
            </w:r>
          </w:p>
        </w:tc>
        <w:tc>
          <w:tcPr>
            <w:tcW w:w="1418" w:type="dxa"/>
            <w:tcBorders>
              <w:top w:val="nil"/>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7º, VII, "c"</w:t>
            </w:r>
          </w:p>
        </w:tc>
        <w:tc>
          <w:tcPr>
            <w:tcW w:w="1417" w:type="dxa"/>
            <w:tcBorders>
              <w:top w:val="nil"/>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5%</w:t>
            </w:r>
          </w:p>
        </w:tc>
        <w:tc>
          <w:tcPr>
            <w:tcW w:w="1134" w:type="dxa"/>
            <w:tcBorders>
              <w:top w:val="nil"/>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single" w:sz="8" w:space="0" w:color="auto"/>
              <w:right w:val="nil"/>
            </w:tcBorders>
            <w:shd w:val="clear" w:color="auto" w:fill="auto"/>
            <w:noWrap/>
            <w:vAlign w:val="center"/>
            <w:hideMark/>
          </w:tcPr>
          <w:p w:rsidR="00CF771B" w:rsidRPr="00D24789" w:rsidRDefault="00CF771B" w:rsidP="00CF771B">
            <w:pPr>
              <w:spacing w:after="0" w:line="240" w:lineRule="auto"/>
              <w:jc w:val="center"/>
              <w:rPr>
                <w:rFonts w:ascii="Arial" w:eastAsia="Times New Roman" w:hAnsi="Arial" w:cs="Arial"/>
                <w:color w:val="000000"/>
                <w:sz w:val="16"/>
                <w:szCs w:val="16"/>
                <w:lang w:eastAsia="pt-BR"/>
              </w:rPr>
            </w:pPr>
            <w:r w:rsidRPr="00D24789">
              <w:rPr>
                <w:rFonts w:ascii="Arial" w:eastAsia="Times New Roman" w:hAnsi="Arial" w:cs="Arial"/>
                <w:color w:val="000000"/>
                <w:sz w:val="16"/>
                <w:szCs w:val="16"/>
                <w:lang w:eastAsia="pt-BR"/>
              </w:rPr>
              <w:t> </w:t>
            </w:r>
            <w:r w:rsidR="00D24789" w:rsidRPr="00D24789">
              <w:rPr>
                <w:rFonts w:ascii="Arial" w:eastAsia="Times New Roman" w:hAnsi="Arial" w:cs="Arial"/>
                <w:color w:val="000000"/>
                <w:sz w:val="16"/>
                <w:szCs w:val="16"/>
                <w:lang w:eastAsia="pt-BR"/>
              </w:rPr>
              <w:t>1,0%</w:t>
            </w:r>
          </w:p>
        </w:tc>
        <w:tc>
          <w:tcPr>
            <w:tcW w:w="1660" w:type="dxa"/>
            <w:tcBorders>
              <w:top w:val="nil"/>
              <w:left w:val="nil"/>
              <w:bottom w:val="single" w:sz="8" w:space="0" w:color="auto"/>
              <w:right w:val="single" w:sz="8" w:space="0" w:color="auto"/>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5%</w:t>
            </w:r>
          </w:p>
        </w:tc>
      </w:tr>
      <w:tr w:rsidR="00CF771B" w:rsidRPr="003844FE" w:rsidTr="00CF771B">
        <w:trPr>
          <w:trHeight w:val="162"/>
        </w:trPr>
        <w:tc>
          <w:tcPr>
            <w:tcW w:w="460"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3510"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rPr>
                <w:rFonts w:ascii="Arial" w:eastAsia="Times New Roman" w:hAnsi="Arial" w:cs="Arial"/>
                <w:color w:val="000000"/>
                <w:sz w:val="16"/>
                <w:szCs w:val="16"/>
                <w:lang w:eastAsia="pt-BR"/>
              </w:rPr>
            </w:pPr>
          </w:p>
        </w:tc>
        <w:tc>
          <w:tcPr>
            <w:tcW w:w="1418"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417"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134"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276"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660"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r>
      <w:tr w:rsidR="00CF771B" w:rsidRPr="003844FE" w:rsidTr="00CF771B">
        <w:trPr>
          <w:trHeight w:val="402"/>
        </w:trPr>
        <w:tc>
          <w:tcPr>
            <w:tcW w:w="460"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p>
        </w:tc>
        <w:tc>
          <w:tcPr>
            <w:tcW w:w="3510" w:type="dxa"/>
            <w:tcBorders>
              <w:top w:val="single" w:sz="8" w:space="0" w:color="auto"/>
              <w:left w:val="single" w:sz="8" w:space="0" w:color="auto"/>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SUBTOTAL</w:t>
            </w:r>
          </w:p>
        </w:tc>
        <w:tc>
          <w:tcPr>
            <w:tcW w:w="1418" w:type="dxa"/>
            <w:tcBorders>
              <w:top w:val="single" w:sz="8" w:space="0" w:color="auto"/>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417" w:type="dxa"/>
            <w:tcBorders>
              <w:top w:val="single" w:sz="8" w:space="0" w:color="auto"/>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134" w:type="dxa"/>
            <w:tcBorders>
              <w:top w:val="single" w:sz="8" w:space="0" w:color="auto"/>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276" w:type="dxa"/>
            <w:tcBorders>
              <w:top w:val="single" w:sz="8" w:space="0" w:color="auto"/>
              <w:left w:val="nil"/>
              <w:bottom w:val="single" w:sz="8" w:space="0" w:color="auto"/>
              <w:right w:val="nil"/>
            </w:tcBorders>
            <w:shd w:val="clear" w:color="auto" w:fill="auto"/>
            <w:noWrap/>
            <w:vAlign w:val="center"/>
            <w:hideMark/>
          </w:tcPr>
          <w:p w:rsidR="00CF771B" w:rsidRPr="003844FE" w:rsidRDefault="005E5B32" w:rsidP="009E77A5">
            <w:pPr>
              <w:spacing w:after="0" w:line="240"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70</w:t>
            </w:r>
            <w:r w:rsidR="00CF771B" w:rsidRPr="003844FE">
              <w:rPr>
                <w:rFonts w:ascii="Arial" w:eastAsia="Times New Roman" w:hAnsi="Arial" w:cs="Arial"/>
                <w:b/>
                <w:bCs/>
                <w:color w:val="000000"/>
                <w:sz w:val="16"/>
                <w:szCs w:val="16"/>
                <w:lang w:eastAsia="pt-BR"/>
              </w:rPr>
              <w:t>,0%</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r>
      <w:tr w:rsidR="00CF771B" w:rsidRPr="003844FE" w:rsidTr="00CF771B">
        <w:trPr>
          <w:trHeight w:val="162"/>
        </w:trPr>
        <w:tc>
          <w:tcPr>
            <w:tcW w:w="460"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3510"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rPr>
                <w:rFonts w:ascii="Arial" w:eastAsia="Times New Roman" w:hAnsi="Arial" w:cs="Arial"/>
                <w:color w:val="000000"/>
                <w:sz w:val="16"/>
                <w:szCs w:val="16"/>
                <w:lang w:eastAsia="pt-BR"/>
              </w:rPr>
            </w:pPr>
          </w:p>
        </w:tc>
        <w:tc>
          <w:tcPr>
            <w:tcW w:w="1418"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417"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134"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276"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660"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r>
      <w:tr w:rsidR="00CF771B" w:rsidRPr="003844FE" w:rsidTr="003844FE">
        <w:trPr>
          <w:trHeight w:val="354"/>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RENDA VARIÁVEL</w:t>
            </w:r>
          </w:p>
        </w:tc>
        <w:tc>
          <w:tcPr>
            <w:tcW w:w="3510" w:type="dxa"/>
            <w:tcBorders>
              <w:top w:val="single" w:sz="8" w:space="0" w:color="auto"/>
              <w:left w:val="nil"/>
              <w:bottom w:val="nil"/>
              <w:right w:val="nil"/>
            </w:tcBorders>
            <w:shd w:val="clear" w:color="000000" w:fill="BFBFB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em Renda Variável</w:t>
            </w:r>
          </w:p>
        </w:tc>
        <w:tc>
          <w:tcPr>
            <w:tcW w:w="1418" w:type="dxa"/>
            <w:tcBorders>
              <w:top w:val="single" w:sz="8" w:space="0" w:color="auto"/>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8º, I, "a"</w:t>
            </w:r>
          </w:p>
        </w:tc>
        <w:tc>
          <w:tcPr>
            <w:tcW w:w="1417" w:type="dxa"/>
            <w:tcBorders>
              <w:top w:val="single" w:sz="8" w:space="0" w:color="auto"/>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30%</w:t>
            </w:r>
          </w:p>
        </w:tc>
        <w:tc>
          <w:tcPr>
            <w:tcW w:w="1134" w:type="dxa"/>
            <w:tcBorders>
              <w:top w:val="single" w:sz="8" w:space="0" w:color="auto"/>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single" w:sz="8" w:space="0" w:color="auto"/>
              <w:left w:val="nil"/>
              <w:bottom w:val="nil"/>
              <w:right w:val="nil"/>
            </w:tcBorders>
            <w:shd w:val="clear" w:color="000000" w:fill="BFBFBF"/>
            <w:noWrap/>
            <w:vAlign w:val="center"/>
            <w:hideMark/>
          </w:tcPr>
          <w:p w:rsidR="00CF771B" w:rsidRPr="005E5B32" w:rsidRDefault="00A77B7C" w:rsidP="009F5311">
            <w:pPr>
              <w:spacing w:after="0" w:line="240" w:lineRule="auto"/>
              <w:jc w:val="center"/>
              <w:rPr>
                <w:rFonts w:ascii="Arial" w:eastAsia="Times New Roman" w:hAnsi="Arial" w:cs="Arial"/>
                <w:color w:val="000000"/>
                <w:sz w:val="16"/>
                <w:szCs w:val="16"/>
                <w:lang w:eastAsia="pt-BR"/>
              </w:rPr>
            </w:pPr>
            <w:r w:rsidRPr="005E5B32">
              <w:rPr>
                <w:rFonts w:ascii="Arial" w:eastAsia="Times New Roman" w:hAnsi="Arial" w:cs="Arial"/>
                <w:color w:val="000000"/>
                <w:sz w:val="16"/>
                <w:szCs w:val="16"/>
                <w:lang w:eastAsia="pt-BR"/>
              </w:rPr>
              <w:t>5</w:t>
            </w:r>
            <w:r w:rsidR="00CF771B" w:rsidRPr="005E5B32">
              <w:rPr>
                <w:rFonts w:ascii="Arial" w:eastAsia="Times New Roman" w:hAnsi="Arial" w:cs="Arial"/>
                <w:color w:val="000000"/>
                <w:sz w:val="16"/>
                <w:szCs w:val="16"/>
                <w:lang w:eastAsia="pt-BR"/>
              </w:rPr>
              <w:t>%</w:t>
            </w:r>
          </w:p>
        </w:tc>
        <w:tc>
          <w:tcPr>
            <w:tcW w:w="1660" w:type="dxa"/>
            <w:tcBorders>
              <w:top w:val="single" w:sz="8" w:space="0" w:color="auto"/>
              <w:left w:val="nil"/>
              <w:bottom w:val="nil"/>
              <w:right w:val="single" w:sz="8" w:space="0" w:color="auto"/>
            </w:tcBorders>
            <w:shd w:val="clear" w:color="000000" w:fill="BFBFBF"/>
            <w:noWrap/>
            <w:vAlign w:val="center"/>
            <w:hideMark/>
          </w:tcPr>
          <w:p w:rsidR="00CF771B" w:rsidRPr="00D24789" w:rsidRDefault="00D24789" w:rsidP="00CF771B">
            <w:pPr>
              <w:spacing w:after="0" w:line="240" w:lineRule="auto"/>
              <w:jc w:val="center"/>
              <w:rPr>
                <w:rFonts w:ascii="Arial" w:eastAsia="Times New Roman" w:hAnsi="Arial" w:cs="Arial"/>
                <w:color w:val="000000"/>
                <w:sz w:val="16"/>
                <w:szCs w:val="16"/>
                <w:lang w:eastAsia="pt-BR"/>
              </w:rPr>
            </w:pPr>
            <w:r w:rsidRPr="00D24789">
              <w:rPr>
                <w:rFonts w:ascii="Arial" w:eastAsia="Times New Roman" w:hAnsi="Arial" w:cs="Arial"/>
                <w:color w:val="000000"/>
                <w:sz w:val="16"/>
                <w:szCs w:val="16"/>
                <w:lang w:eastAsia="pt-BR"/>
              </w:rPr>
              <w:t>3</w:t>
            </w:r>
            <w:r w:rsidR="00A77B7C" w:rsidRPr="00D24789">
              <w:rPr>
                <w:rFonts w:ascii="Arial" w:eastAsia="Times New Roman" w:hAnsi="Arial" w:cs="Arial"/>
                <w:color w:val="000000"/>
                <w:sz w:val="16"/>
                <w:szCs w:val="16"/>
                <w:lang w:eastAsia="pt-BR"/>
              </w:rPr>
              <w:t>0</w:t>
            </w:r>
            <w:r w:rsidR="00CF771B" w:rsidRPr="00D24789">
              <w:rPr>
                <w:rFonts w:ascii="Arial" w:eastAsia="Times New Roman" w:hAnsi="Arial" w:cs="Arial"/>
                <w:color w:val="000000"/>
                <w:sz w:val="16"/>
                <w:szCs w:val="16"/>
                <w:lang w:eastAsia="pt-BR"/>
              </w:rPr>
              <w:t>%</w:t>
            </w:r>
          </w:p>
        </w:tc>
      </w:tr>
      <w:tr w:rsidR="00CF771B" w:rsidRPr="003844FE" w:rsidTr="003844FE">
        <w:trPr>
          <w:trHeight w:val="259"/>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de Índices em Renda Variável (ETF - índice 50 ações)</w:t>
            </w:r>
          </w:p>
        </w:tc>
        <w:tc>
          <w:tcPr>
            <w:tcW w:w="1418"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8º, I, "b"</w:t>
            </w:r>
          </w:p>
        </w:tc>
        <w:tc>
          <w:tcPr>
            <w:tcW w:w="1417"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30%</w:t>
            </w:r>
          </w:p>
        </w:tc>
        <w:tc>
          <w:tcPr>
            <w:tcW w:w="1134"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auto" w:fill="auto"/>
            <w:noWrap/>
            <w:vAlign w:val="center"/>
            <w:hideMark/>
          </w:tcPr>
          <w:p w:rsidR="00CF771B" w:rsidRPr="005E5B32" w:rsidRDefault="00A77B7C" w:rsidP="00CF771B">
            <w:pPr>
              <w:spacing w:after="0" w:line="240" w:lineRule="auto"/>
              <w:jc w:val="center"/>
              <w:rPr>
                <w:rFonts w:ascii="Arial" w:eastAsia="Times New Roman" w:hAnsi="Arial" w:cs="Arial"/>
                <w:color w:val="000000"/>
                <w:sz w:val="16"/>
                <w:szCs w:val="16"/>
                <w:lang w:eastAsia="pt-BR"/>
              </w:rPr>
            </w:pPr>
            <w:r w:rsidRPr="005E5B32">
              <w:rPr>
                <w:rFonts w:ascii="Arial" w:eastAsia="Times New Roman" w:hAnsi="Arial" w:cs="Arial"/>
                <w:color w:val="000000"/>
                <w:sz w:val="16"/>
                <w:szCs w:val="16"/>
                <w:lang w:eastAsia="pt-BR"/>
              </w:rPr>
              <w:t>5</w:t>
            </w:r>
            <w:r w:rsidR="00784E27" w:rsidRPr="005E5B32">
              <w:rPr>
                <w:rFonts w:ascii="Arial" w:eastAsia="Times New Roman" w:hAnsi="Arial" w:cs="Arial"/>
                <w:color w:val="000000"/>
                <w:sz w:val="16"/>
                <w:szCs w:val="16"/>
                <w:lang w:eastAsia="pt-BR"/>
              </w:rPr>
              <w:t>%</w:t>
            </w:r>
          </w:p>
        </w:tc>
        <w:tc>
          <w:tcPr>
            <w:tcW w:w="1660" w:type="dxa"/>
            <w:tcBorders>
              <w:top w:val="nil"/>
              <w:left w:val="nil"/>
              <w:bottom w:val="nil"/>
              <w:right w:val="single" w:sz="8" w:space="0" w:color="auto"/>
            </w:tcBorders>
            <w:shd w:val="clear" w:color="auto" w:fill="auto"/>
            <w:noWrap/>
            <w:vAlign w:val="center"/>
            <w:hideMark/>
          </w:tcPr>
          <w:p w:rsidR="00CF771B" w:rsidRPr="00D24789" w:rsidRDefault="00D24789" w:rsidP="00CF771B">
            <w:pPr>
              <w:spacing w:after="0" w:line="240" w:lineRule="auto"/>
              <w:jc w:val="center"/>
              <w:rPr>
                <w:rFonts w:ascii="Arial" w:eastAsia="Times New Roman" w:hAnsi="Arial" w:cs="Arial"/>
                <w:color w:val="000000"/>
                <w:sz w:val="16"/>
                <w:szCs w:val="16"/>
                <w:lang w:eastAsia="pt-BR"/>
              </w:rPr>
            </w:pPr>
            <w:r w:rsidRPr="00D24789">
              <w:rPr>
                <w:rFonts w:ascii="Arial" w:eastAsia="Times New Roman" w:hAnsi="Arial" w:cs="Arial"/>
                <w:color w:val="000000"/>
                <w:sz w:val="16"/>
                <w:szCs w:val="16"/>
                <w:lang w:eastAsia="pt-BR"/>
              </w:rPr>
              <w:t>3</w:t>
            </w:r>
            <w:r w:rsidR="00A77B7C" w:rsidRPr="00D24789">
              <w:rPr>
                <w:rFonts w:ascii="Arial" w:eastAsia="Times New Roman" w:hAnsi="Arial" w:cs="Arial"/>
                <w:color w:val="000000"/>
                <w:sz w:val="16"/>
                <w:szCs w:val="16"/>
                <w:lang w:eastAsia="pt-BR"/>
              </w:rPr>
              <w:t>0</w:t>
            </w:r>
            <w:r w:rsidR="00CF771B" w:rsidRPr="00D24789">
              <w:rPr>
                <w:rFonts w:ascii="Arial" w:eastAsia="Times New Roman" w:hAnsi="Arial" w:cs="Arial"/>
                <w:color w:val="000000"/>
                <w:sz w:val="16"/>
                <w:szCs w:val="16"/>
                <w:lang w:eastAsia="pt-BR"/>
              </w:rPr>
              <w:t>%</w:t>
            </w:r>
          </w:p>
        </w:tc>
      </w:tr>
      <w:tr w:rsidR="00CF771B" w:rsidRPr="003844FE" w:rsidTr="003844FE">
        <w:trPr>
          <w:trHeight w:val="293"/>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em Ações</w:t>
            </w:r>
          </w:p>
        </w:tc>
        <w:tc>
          <w:tcPr>
            <w:tcW w:w="1418"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8º, II, "a"</w:t>
            </w:r>
          </w:p>
        </w:tc>
        <w:tc>
          <w:tcPr>
            <w:tcW w:w="1417"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20%</w:t>
            </w:r>
          </w:p>
        </w:tc>
        <w:tc>
          <w:tcPr>
            <w:tcW w:w="1134"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000000" w:fill="BFBFBF"/>
            <w:noWrap/>
            <w:vAlign w:val="center"/>
            <w:hideMark/>
          </w:tcPr>
          <w:p w:rsidR="00CF771B" w:rsidRPr="005E5B32" w:rsidRDefault="005E5B32" w:rsidP="00791891">
            <w:pPr>
              <w:spacing w:after="0" w:line="240" w:lineRule="auto"/>
              <w:jc w:val="center"/>
              <w:rPr>
                <w:rFonts w:ascii="Arial" w:eastAsia="Times New Roman" w:hAnsi="Arial" w:cs="Arial"/>
                <w:color w:val="000000"/>
                <w:sz w:val="16"/>
                <w:szCs w:val="16"/>
                <w:lang w:eastAsia="pt-BR"/>
              </w:rPr>
            </w:pPr>
            <w:r w:rsidRPr="005E5B32">
              <w:rPr>
                <w:rFonts w:ascii="Arial" w:eastAsia="Times New Roman" w:hAnsi="Arial" w:cs="Arial"/>
                <w:color w:val="000000"/>
                <w:sz w:val="16"/>
                <w:szCs w:val="16"/>
                <w:lang w:eastAsia="pt-BR"/>
              </w:rPr>
              <w:t>15</w:t>
            </w:r>
            <w:r w:rsidR="00CF771B" w:rsidRPr="005E5B32">
              <w:rPr>
                <w:rFonts w:ascii="Arial" w:eastAsia="Times New Roman" w:hAnsi="Arial" w:cs="Arial"/>
                <w:color w:val="000000"/>
                <w:sz w:val="16"/>
                <w:szCs w:val="16"/>
                <w:lang w:eastAsia="pt-BR"/>
              </w:rPr>
              <w:t>%</w:t>
            </w:r>
          </w:p>
        </w:tc>
        <w:tc>
          <w:tcPr>
            <w:tcW w:w="1660" w:type="dxa"/>
            <w:tcBorders>
              <w:top w:val="nil"/>
              <w:left w:val="nil"/>
              <w:bottom w:val="nil"/>
              <w:right w:val="single" w:sz="8" w:space="0" w:color="auto"/>
            </w:tcBorders>
            <w:shd w:val="clear" w:color="000000" w:fill="BFBFBF"/>
            <w:noWrap/>
            <w:vAlign w:val="center"/>
            <w:hideMark/>
          </w:tcPr>
          <w:p w:rsidR="00CF771B" w:rsidRPr="00D24789" w:rsidRDefault="00D24789" w:rsidP="00CF771B">
            <w:pPr>
              <w:spacing w:after="0" w:line="240" w:lineRule="auto"/>
              <w:jc w:val="center"/>
              <w:rPr>
                <w:rFonts w:ascii="Arial" w:eastAsia="Times New Roman" w:hAnsi="Arial" w:cs="Arial"/>
                <w:color w:val="000000"/>
                <w:sz w:val="16"/>
                <w:szCs w:val="16"/>
                <w:lang w:eastAsia="pt-BR"/>
              </w:rPr>
            </w:pPr>
            <w:r w:rsidRPr="00D24789">
              <w:rPr>
                <w:rFonts w:ascii="Arial" w:eastAsia="Times New Roman" w:hAnsi="Arial" w:cs="Arial"/>
                <w:color w:val="000000"/>
                <w:sz w:val="16"/>
                <w:szCs w:val="16"/>
                <w:lang w:eastAsia="pt-BR"/>
              </w:rPr>
              <w:t>2</w:t>
            </w:r>
            <w:r w:rsidR="00A77B7C" w:rsidRPr="00D24789">
              <w:rPr>
                <w:rFonts w:ascii="Arial" w:eastAsia="Times New Roman" w:hAnsi="Arial" w:cs="Arial"/>
                <w:color w:val="000000"/>
                <w:sz w:val="16"/>
                <w:szCs w:val="16"/>
                <w:lang w:eastAsia="pt-BR"/>
              </w:rPr>
              <w:t>0</w:t>
            </w:r>
            <w:r w:rsidR="00CF771B" w:rsidRPr="00D24789">
              <w:rPr>
                <w:rFonts w:ascii="Arial" w:eastAsia="Times New Roman" w:hAnsi="Arial" w:cs="Arial"/>
                <w:color w:val="000000"/>
                <w:sz w:val="16"/>
                <w:szCs w:val="16"/>
                <w:lang w:eastAsia="pt-BR"/>
              </w:rPr>
              <w:t>%</w:t>
            </w:r>
          </w:p>
        </w:tc>
      </w:tr>
      <w:tr w:rsidR="00CF771B" w:rsidRPr="003844FE" w:rsidTr="003844FE">
        <w:trPr>
          <w:trHeight w:val="269"/>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em Índices de Ações (ETF - índices em geral)</w:t>
            </w:r>
          </w:p>
        </w:tc>
        <w:tc>
          <w:tcPr>
            <w:tcW w:w="1418"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8º, II, "b"</w:t>
            </w:r>
          </w:p>
        </w:tc>
        <w:tc>
          <w:tcPr>
            <w:tcW w:w="1417"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20%</w:t>
            </w:r>
          </w:p>
        </w:tc>
        <w:tc>
          <w:tcPr>
            <w:tcW w:w="1134"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auto" w:fill="auto"/>
            <w:noWrap/>
            <w:vAlign w:val="center"/>
            <w:hideMark/>
          </w:tcPr>
          <w:p w:rsidR="00CF771B" w:rsidRPr="005E5B32" w:rsidRDefault="00CF771B" w:rsidP="00CF771B">
            <w:pPr>
              <w:spacing w:after="0" w:line="240" w:lineRule="auto"/>
              <w:jc w:val="center"/>
              <w:rPr>
                <w:rFonts w:ascii="Arial" w:eastAsia="Times New Roman" w:hAnsi="Arial" w:cs="Arial"/>
                <w:color w:val="000000"/>
                <w:sz w:val="16"/>
                <w:szCs w:val="16"/>
                <w:lang w:eastAsia="pt-BR"/>
              </w:rPr>
            </w:pPr>
          </w:p>
        </w:tc>
        <w:tc>
          <w:tcPr>
            <w:tcW w:w="1660" w:type="dxa"/>
            <w:tcBorders>
              <w:top w:val="nil"/>
              <w:left w:val="nil"/>
              <w:bottom w:val="nil"/>
              <w:right w:val="single" w:sz="8" w:space="0" w:color="auto"/>
            </w:tcBorders>
            <w:shd w:val="clear" w:color="auto" w:fill="auto"/>
            <w:noWrap/>
            <w:vAlign w:val="center"/>
            <w:hideMark/>
          </w:tcPr>
          <w:p w:rsidR="00CF771B" w:rsidRPr="00D24789" w:rsidRDefault="00D24789" w:rsidP="00CF771B">
            <w:pPr>
              <w:spacing w:after="0" w:line="240" w:lineRule="auto"/>
              <w:jc w:val="center"/>
              <w:rPr>
                <w:rFonts w:ascii="Arial" w:eastAsia="Times New Roman" w:hAnsi="Arial" w:cs="Arial"/>
                <w:color w:val="000000"/>
                <w:sz w:val="16"/>
                <w:szCs w:val="16"/>
                <w:lang w:eastAsia="pt-BR"/>
              </w:rPr>
            </w:pPr>
            <w:r w:rsidRPr="00D24789">
              <w:rPr>
                <w:rFonts w:ascii="Arial" w:eastAsia="Times New Roman" w:hAnsi="Arial" w:cs="Arial"/>
                <w:color w:val="000000"/>
                <w:sz w:val="16"/>
                <w:szCs w:val="16"/>
                <w:lang w:eastAsia="pt-BR"/>
              </w:rPr>
              <w:t>2</w:t>
            </w:r>
            <w:r w:rsidR="00A77B7C" w:rsidRPr="00D24789">
              <w:rPr>
                <w:rFonts w:ascii="Arial" w:eastAsia="Times New Roman" w:hAnsi="Arial" w:cs="Arial"/>
                <w:color w:val="000000"/>
                <w:sz w:val="16"/>
                <w:szCs w:val="16"/>
                <w:lang w:eastAsia="pt-BR"/>
              </w:rPr>
              <w:t>0</w:t>
            </w:r>
            <w:r w:rsidR="00CF771B" w:rsidRPr="00D24789">
              <w:rPr>
                <w:rFonts w:ascii="Arial" w:eastAsia="Times New Roman" w:hAnsi="Arial" w:cs="Arial"/>
                <w:color w:val="000000"/>
                <w:sz w:val="16"/>
                <w:szCs w:val="16"/>
                <w:lang w:eastAsia="pt-BR"/>
              </w:rPr>
              <w:t>%</w:t>
            </w:r>
          </w:p>
        </w:tc>
      </w:tr>
      <w:tr w:rsidR="00CF771B" w:rsidRPr="003844FE" w:rsidTr="003844FE">
        <w:trPr>
          <w:trHeight w:val="317"/>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Multimercado</w:t>
            </w:r>
          </w:p>
        </w:tc>
        <w:tc>
          <w:tcPr>
            <w:tcW w:w="1418"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8º, III</w:t>
            </w:r>
          </w:p>
        </w:tc>
        <w:tc>
          <w:tcPr>
            <w:tcW w:w="1417"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10%</w:t>
            </w:r>
          </w:p>
        </w:tc>
        <w:tc>
          <w:tcPr>
            <w:tcW w:w="1134"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000000" w:fill="BFBFBF"/>
            <w:noWrap/>
            <w:vAlign w:val="center"/>
            <w:hideMark/>
          </w:tcPr>
          <w:p w:rsidR="00CF771B" w:rsidRPr="005E5B32" w:rsidRDefault="005E5B32" w:rsidP="00CF771B">
            <w:pPr>
              <w:spacing w:after="0" w:line="240" w:lineRule="auto"/>
              <w:jc w:val="center"/>
              <w:rPr>
                <w:rFonts w:ascii="Arial" w:eastAsia="Times New Roman" w:hAnsi="Arial" w:cs="Arial"/>
                <w:color w:val="000000"/>
                <w:sz w:val="16"/>
                <w:szCs w:val="16"/>
                <w:lang w:eastAsia="pt-BR"/>
              </w:rPr>
            </w:pPr>
            <w:r w:rsidRPr="005E5B32">
              <w:rPr>
                <w:rFonts w:ascii="Arial" w:eastAsia="Times New Roman" w:hAnsi="Arial" w:cs="Arial"/>
                <w:color w:val="000000"/>
                <w:sz w:val="16"/>
                <w:szCs w:val="16"/>
                <w:lang w:eastAsia="pt-BR"/>
              </w:rPr>
              <w:t>2</w:t>
            </w:r>
            <w:r w:rsidR="00784E27" w:rsidRPr="005E5B32">
              <w:rPr>
                <w:rFonts w:ascii="Arial" w:eastAsia="Times New Roman" w:hAnsi="Arial" w:cs="Arial"/>
                <w:color w:val="000000"/>
                <w:sz w:val="16"/>
                <w:szCs w:val="16"/>
                <w:lang w:eastAsia="pt-BR"/>
              </w:rPr>
              <w:t>,0</w:t>
            </w:r>
            <w:r w:rsidR="000A3959" w:rsidRPr="005E5B32">
              <w:rPr>
                <w:rFonts w:ascii="Arial" w:eastAsia="Times New Roman" w:hAnsi="Arial" w:cs="Arial"/>
                <w:color w:val="000000"/>
                <w:sz w:val="16"/>
                <w:szCs w:val="16"/>
                <w:lang w:eastAsia="pt-BR"/>
              </w:rPr>
              <w:t>%</w:t>
            </w:r>
          </w:p>
        </w:tc>
        <w:tc>
          <w:tcPr>
            <w:tcW w:w="1660" w:type="dxa"/>
            <w:tcBorders>
              <w:top w:val="nil"/>
              <w:left w:val="nil"/>
              <w:bottom w:val="nil"/>
              <w:right w:val="single" w:sz="8" w:space="0" w:color="auto"/>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10%</w:t>
            </w:r>
          </w:p>
        </w:tc>
      </w:tr>
      <w:tr w:rsidR="00CF771B" w:rsidRPr="003844FE" w:rsidTr="003844FE">
        <w:trPr>
          <w:trHeight w:val="251"/>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em Participações</w:t>
            </w:r>
          </w:p>
        </w:tc>
        <w:tc>
          <w:tcPr>
            <w:tcW w:w="1418"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8º, IV, "a"</w:t>
            </w:r>
          </w:p>
        </w:tc>
        <w:tc>
          <w:tcPr>
            <w:tcW w:w="1417"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5%</w:t>
            </w:r>
          </w:p>
        </w:tc>
        <w:tc>
          <w:tcPr>
            <w:tcW w:w="1134"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auto" w:fill="auto"/>
            <w:noWrap/>
            <w:vAlign w:val="center"/>
            <w:hideMark/>
          </w:tcPr>
          <w:p w:rsidR="00CF771B" w:rsidRPr="005E5B32" w:rsidRDefault="00CF771B" w:rsidP="00CF771B">
            <w:pPr>
              <w:spacing w:after="0" w:line="240" w:lineRule="auto"/>
              <w:jc w:val="center"/>
              <w:rPr>
                <w:rFonts w:ascii="Arial" w:eastAsia="Times New Roman" w:hAnsi="Arial" w:cs="Arial"/>
                <w:color w:val="000000"/>
                <w:sz w:val="16"/>
                <w:szCs w:val="16"/>
                <w:lang w:eastAsia="pt-BR"/>
              </w:rPr>
            </w:pPr>
          </w:p>
        </w:tc>
        <w:tc>
          <w:tcPr>
            <w:tcW w:w="1660" w:type="dxa"/>
            <w:tcBorders>
              <w:top w:val="nil"/>
              <w:left w:val="nil"/>
              <w:bottom w:val="nil"/>
              <w:right w:val="single" w:sz="8" w:space="0" w:color="auto"/>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5%</w:t>
            </w:r>
          </w:p>
        </w:tc>
      </w:tr>
      <w:tr w:rsidR="00CF771B" w:rsidRPr="003844FE" w:rsidTr="00CF771B">
        <w:trPr>
          <w:trHeight w:val="402"/>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Imobiliário</w:t>
            </w:r>
          </w:p>
        </w:tc>
        <w:tc>
          <w:tcPr>
            <w:tcW w:w="1418"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8º, IV, "b"</w:t>
            </w:r>
          </w:p>
        </w:tc>
        <w:tc>
          <w:tcPr>
            <w:tcW w:w="1417"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5%</w:t>
            </w:r>
          </w:p>
        </w:tc>
        <w:tc>
          <w:tcPr>
            <w:tcW w:w="1134" w:type="dxa"/>
            <w:tcBorders>
              <w:top w:val="nil"/>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nil"/>
              <w:right w:val="nil"/>
            </w:tcBorders>
            <w:shd w:val="clear" w:color="000000" w:fill="BFBFBF"/>
            <w:noWrap/>
            <w:vAlign w:val="center"/>
            <w:hideMark/>
          </w:tcPr>
          <w:p w:rsidR="00CF771B" w:rsidRPr="005E5B32" w:rsidRDefault="005E5B32" w:rsidP="00CF771B">
            <w:pPr>
              <w:spacing w:after="0" w:line="240" w:lineRule="auto"/>
              <w:jc w:val="center"/>
              <w:rPr>
                <w:rFonts w:ascii="Arial" w:eastAsia="Times New Roman" w:hAnsi="Arial" w:cs="Arial"/>
                <w:color w:val="000000"/>
                <w:sz w:val="16"/>
                <w:szCs w:val="16"/>
                <w:lang w:eastAsia="pt-BR"/>
              </w:rPr>
            </w:pPr>
            <w:r w:rsidRPr="005E5B32">
              <w:rPr>
                <w:rFonts w:ascii="Arial" w:eastAsia="Times New Roman" w:hAnsi="Arial" w:cs="Arial"/>
                <w:color w:val="000000"/>
                <w:sz w:val="16"/>
                <w:szCs w:val="16"/>
                <w:lang w:eastAsia="pt-BR"/>
              </w:rPr>
              <w:t>2</w:t>
            </w:r>
            <w:r w:rsidR="00784E27" w:rsidRPr="005E5B32">
              <w:rPr>
                <w:rFonts w:ascii="Arial" w:eastAsia="Times New Roman" w:hAnsi="Arial" w:cs="Arial"/>
                <w:color w:val="000000"/>
                <w:sz w:val="16"/>
                <w:szCs w:val="16"/>
                <w:lang w:eastAsia="pt-BR"/>
              </w:rPr>
              <w:t>,0%</w:t>
            </w:r>
          </w:p>
        </w:tc>
        <w:tc>
          <w:tcPr>
            <w:tcW w:w="1660" w:type="dxa"/>
            <w:tcBorders>
              <w:top w:val="nil"/>
              <w:left w:val="nil"/>
              <w:bottom w:val="nil"/>
              <w:right w:val="single" w:sz="8" w:space="0" w:color="auto"/>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5%</w:t>
            </w:r>
          </w:p>
        </w:tc>
      </w:tr>
      <w:tr w:rsidR="00CF771B" w:rsidRPr="003844FE" w:rsidTr="003844FE">
        <w:trPr>
          <w:trHeight w:val="381"/>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single" w:sz="8" w:space="0" w:color="auto"/>
              <w:right w:val="nil"/>
            </w:tcBorders>
            <w:shd w:val="clear" w:color="000000" w:fill="FFFFF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Ações - Mercado de Acesso</w:t>
            </w:r>
          </w:p>
        </w:tc>
        <w:tc>
          <w:tcPr>
            <w:tcW w:w="1418" w:type="dxa"/>
            <w:tcBorders>
              <w:top w:val="nil"/>
              <w:left w:val="nil"/>
              <w:bottom w:val="single" w:sz="8" w:space="0" w:color="auto"/>
              <w:right w:val="nil"/>
            </w:tcBorders>
            <w:shd w:val="clear" w:color="000000" w:fill="FFFFF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8º, IV, "c"</w:t>
            </w:r>
          </w:p>
        </w:tc>
        <w:tc>
          <w:tcPr>
            <w:tcW w:w="1417" w:type="dxa"/>
            <w:tcBorders>
              <w:top w:val="nil"/>
              <w:left w:val="nil"/>
              <w:bottom w:val="single" w:sz="8" w:space="0" w:color="auto"/>
              <w:right w:val="nil"/>
            </w:tcBorders>
            <w:shd w:val="clear" w:color="000000" w:fill="FFFFF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5%</w:t>
            </w:r>
          </w:p>
        </w:tc>
        <w:tc>
          <w:tcPr>
            <w:tcW w:w="1134" w:type="dxa"/>
            <w:tcBorders>
              <w:top w:val="nil"/>
              <w:left w:val="nil"/>
              <w:bottom w:val="single" w:sz="8" w:space="0" w:color="auto"/>
              <w:right w:val="nil"/>
            </w:tcBorders>
            <w:shd w:val="clear" w:color="000000" w:fill="FFFFF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0%</w:t>
            </w:r>
          </w:p>
        </w:tc>
        <w:tc>
          <w:tcPr>
            <w:tcW w:w="1276" w:type="dxa"/>
            <w:tcBorders>
              <w:top w:val="nil"/>
              <w:left w:val="nil"/>
              <w:bottom w:val="single" w:sz="8" w:space="0" w:color="auto"/>
              <w:right w:val="nil"/>
            </w:tcBorders>
            <w:shd w:val="clear" w:color="000000" w:fill="FFFFF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660" w:type="dxa"/>
            <w:tcBorders>
              <w:top w:val="nil"/>
              <w:left w:val="nil"/>
              <w:bottom w:val="single" w:sz="8" w:space="0" w:color="auto"/>
              <w:right w:val="single" w:sz="8" w:space="0" w:color="auto"/>
            </w:tcBorders>
            <w:shd w:val="clear" w:color="000000" w:fill="FFFFF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5%</w:t>
            </w:r>
          </w:p>
        </w:tc>
      </w:tr>
      <w:tr w:rsidR="00CF771B" w:rsidRPr="003844FE" w:rsidTr="00CF771B">
        <w:trPr>
          <w:trHeight w:val="162"/>
        </w:trPr>
        <w:tc>
          <w:tcPr>
            <w:tcW w:w="460" w:type="dxa"/>
            <w:tcBorders>
              <w:top w:val="nil"/>
              <w:left w:val="nil"/>
              <w:bottom w:val="nil"/>
              <w:right w:val="nil"/>
            </w:tcBorders>
            <w:shd w:val="clear" w:color="auto" w:fill="auto"/>
            <w:noWrap/>
            <w:textDirection w:val="btLr"/>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p>
        </w:tc>
        <w:tc>
          <w:tcPr>
            <w:tcW w:w="3510" w:type="dxa"/>
            <w:tcBorders>
              <w:top w:val="nil"/>
              <w:left w:val="nil"/>
              <w:bottom w:val="single" w:sz="8" w:space="0" w:color="auto"/>
              <w:right w:val="nil"/>
            </w:tcBorders>
            <w:shd w:val="clear" w:color="000000" w:fill="FFFFF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418" w:type="dxa"/>
            <w:tcBorders>
              <w:top w:val="nil"/>
              <w:left w:val="nil"/>
              <w:bottom w:val="single" w:sz="8" w:space="0" w:color="auto"/>
              <w:right w:val="nil"/>
            </w:tcBorders>
            <w:shd w:val="clear" w:color="000000" w:fill="FFFFF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417" w:type="dxa"/>
            <w:tcBorders>
              <w:top w:val="nil"/>
              <w:left w:val="nil"/>
              <w:bottom w:val="single" w:sz="8" w:space="0" w:color="auto"/>
              <w:right w:val="nil"/>
            </w:tcBorders>
            <w:shd w:val="clear" w:color="000000" w:fill="FFFFF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134" w:type="dxa"/>
            <w:tcBorders>
              <w:top w:val="nil"/>
              <w:left w:val="nil"/>
              <w:bottom w:val="single" w:sz="8" w:space="0" w:color="auto"/>
              <w:right w:val="nil"/>
            </w:tcBorders>
            <w:shd w:val="clear" w:color="000000" w:fill="FFFFF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276" w:type="dxa"/>
            <w:tcBorders>
              <w:top w:val="nil"/>
              <w:left w:val="nil"/>
              <w:bottom w:val="single" w:sz="8" w:space="0" w:color="auto"/>
              <w:right w:val="nil"/>
            </w:tcBorders>
            <w:shd w:val="clear" w:color="000000" w:fill="FFFFF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660" w:type="dxa"/>
            <w:tcBorders>
              <w:top w:val="nil"/>
              <w:left w:val="nil"/>
              <w:bottom w:val="single" w:sz="8" w:space="0" w:color="auto"/>
              <w:right w:val="nil"/>
            </w:tcBorders>
            <w:shd w:val="clear" w:color="000000" w:fill="FFFFF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r>
      <w:tr w:rsidR="00CF771B" w:rsidRPr="003844FE" w:rsidTr="003844FE">
        <w:trPr>
          <w:trHeight w:val="319"/>
        </w:trPr>
        <w:tc>
          <w:tcPr>
            <w:tcW w:w="460"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p>
        </w:tc>
        <w:tc>
          <w:tcPr>
            <w:tcW w:w="3510" w:type="dxa"/>
            <w:tcBorders>
              <w:top w:val="nil"/>
              <w:left w:val="single" w:sz="8" w:space="0" w:color="auto"/>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SUBTOTAL</w:t>
            </w:r>
          </w:p>
        </w:tc>
        <w:tc>
          <w:tcPr>
            <w:tcW w:w="1418" w:type="dxa"/>
            <w:tcBorders>
              <w:top w:val="nil"/>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417" w:type="dxa"/>
            <w:tcBorders>
              <w:top w:val="nil"/>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134" w:type="dxa"/>
            <w:tcBorders>
              <w:top w:val="nil"/>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276" w:type="dxa"/>
            <w:tcBorders>
              <w:top w:val="nil"/>
              <w:left w:val="nil"/>
              <w:bottom w:val="single" w:sz="8" w:space="0" w:color="auto"/>
              <w:right w:val="nil"/>
            </w:tcBorders>
            <w:shd w:val="clear" w:color="auto" w:fill="auto"/>
            <w:noWrap/>
            <w:vAlign w:val="center"/>
            <w:hideMark/>
          </w:tcPr>
          <w:p w:rsidR="00CF771B" w:rsidRPr="003844FE" w:rsidRDefault="005E5B32" w:rsidP="009F5311">
            <w:pPr>
              <w:spacing w:after="0" w:line="240"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29</w:t>
            </w:r>
            <w:r w:rsidR="00CF771B" w:rsidRPr="003844FE">
              <w:rPr>
                <w:rFonts w:ascii="Arial" w:eastAsia="Times New Roman" w:hAnsi="Arial" w:cs="Arial"/>
                <w:b/>
                <w:bCs/>
                <w:color w:val="000000"/>
                <w:sz w:val="16"/>
                <w:szCs w:val="16"/>
                <w:lang w:eastAsia="pt-BR"/>
              </w:rPr>
              <w:t>%</w:t>
            </w:r>
          </w:p>
        </w:tc>
        <w:tc>
          <w:tcPr>
            <w:tcW w:w="1660" w:type="dxa"/>
            <w:tcBorders>
              <w:top w:val="nil"/>
              <w:left w:val="nil"/>
              <w:bottom w:val="single" w:sz="8" w:space="0" w:color="auto"/>
              <w:right w:val="single" w:sz="8" w:space="0" w:color="auto"/>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r>
      <w:tr w:rsidR="00CF771B" w:rsidRPr="003844FE" w:rsidTr="00CF771B">
        <w:trPr>
          <w:trHeight w:val="162"/>
        </w:trPr>
        <w:tc>
          <w:tcPr>
            <w:tcW w:w="460" w:type="dxa"/>
            <w:tcBorders>
              <w:top w:val="nil"/>
              <w:left w:val="nil"/>
              <w:bottom w:val="nil"/>
              <w:right w:val="nil"/>
            </w:tcBorders>
            <w:shd w:val="clear" w:color="000000" w:fill="FFFFFF"/>
            <w:noWrap/>
            <w:vAlign w:val="bottom"/>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3510" w:type="dxa"/>
            <w:tcBorders>
              <w:top w:val="nil"/>
              <w:left w:val="nil"/>
              <w:bottom w:val="nil"/>
              <w:right w:val="nil"/>
            </w:tcBorders>
            <w:shd w:val="clear" w:color="000000" w:fill="FFFFFF"/>
            <w:noWrap/>
            <w:vAlign w:val="bottom"/>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418" w:type="dxa"/>
            <w:tcBorders>
              <w:top w:val="nil"/>
              <w:left w:val="nil"/>
              <w:bottom w:val="nil"/>
              <w:right w:val="nil"/>
            </w:tcBorders>
            <w:shd w:val="clear" w:color="000000" w:fill="FFFFFF"/>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417" w:type="dxa"/>
            <w:tcBorders>
              <w:top w:val="nil"/>
              <w:left w:val="nil"/>
              <w:bottom w:val="nil"/>
              <w:right w:val="nil"/>
            </w:tcBorders>
            <w:shd w:val="clear" w:color="000000" w:fill="FFFFFF"/>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134" w:type="dxa"/>
            <w:tcBorders>
              <w:top w:val="nil"/>
              <w:left w:val="nil"/>
              <w:bottom w:val="nil"/>
              <w:right w:val="nil"/>
            </w:tcBorders>
            <w:shd w:val="clear" w:color="000000" w:fill="FFFFFF"/>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276" w:type="dxa"/>
            <w:tcBorders>
              <w:top w:val="nil"/>
              <w:left w:val="nil"/>
              <w:bottom w:val="nil"/>
              <w:right w:val="nil"/>
            </w:tcBorders>
            <w:shd w:val="clear" w:color="000000" w:fill="FFFFFF"/>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660" w:type="dxa"/>
            <w:tcBorders>
              <w:top w:val="nil"/>
              <w:left w:val="nil"/>
              <w:bottom w:val="nil"/>
              <w:right w:val="nil"/>
            </w:tcBorders>
            <w:shd w:val="clear" w:color="000000" w:fill="FFFFFF"/>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r>
      <w:tr w:rsidR="00CF771B" w:rsidRPr="003844FE" w:rsidTr="003844FE">
        <w:trPr>
          <w:trHeight w:val="399"/>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F771B" w:rsidRPr="003844FE" w:rsidRDefault="00CF771B" w:rsidP="00AB7989">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FI EXTERIOR</w:t>
            </w:r>
          </w:p>
        </w:tc>
        <w:tc>
          <w:tcPr>
            <w:tcW w:w="3510" w:type="dxa"/>
            <w:tcBorders>
              <w:top w:val="single" w:sz="8" w:space="0" w:color="auto"/>
              <w:left w:val="nil"/>
              <w:bottom w:val="nil"/>
              <w:right w:val="nil"/>
            </w:tcBorders>
            <w:shd w:val="clear" w:color="000000" w:fill="BFBFB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FIC e FIC FI Renda Fixa - Dívida Externa</w:t>
            </w:r>
          </w:p>
        </w:tc>
        <w:tc>
          <w:tcPr>
            <w:tcW w:w="1418" w:type="dxa"/>
            <w:tcBorders>
              <w:top w:val="single" w:sz="8" w:space="0" w:color="auto"/>
              <w:left w:val="nil"/>
              <w:bottom w:val="nil"/>
              <w:right w:val="nil"/>
            </w:tcBorders>
            <w:shd w:val="clear" w:color="000000" w:fill="BFBFBF"/>
            <w:noWrap/>
            <w:vAlign w:val="center"/>
            <w:hideMark/>
          </w:tcPr>
          <w:p w:rsidR="00CF771B" w:rsidRPr="003844FE" w:rsidRDefault="00CF771B" w:rsidP="00253E5F">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9º-A, I</w:t>
            </w:r>
          </w:p>
        </w:tc>
        <w:tc>
          <w:tcPr>
            <w:tcW w:w="1417" w:type="dxa"/>
            <w:tcBorders>
              <w:top w:val="single" w:sz="8" w:space="0" w:color="auto"/>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10%</w:t>
            </w:r>
          </w:p>
        </w:tc>
        <w:tc>
          <w:tcPr>
            <w:tcW w:w="1134" w:type="dxa"/>
            <w:tcBorders>
              <w:top w:val="single" w:sz="8" w:space="0" w:color="auto"/>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276" w:type="dxa"/>
            <w:tcBorders>
              <w:top w:val="single" w:sz="8" w:space="0" w:color="auto"/>
              <w:left w:val="nil"/>
              <w:bottom w:val="nil"/>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660" w:type="dxa"/>
            <w:tcBorders>
              <w:top w:val="single" w:sz="8" w:space="0" w:color="auto"/>
              <w:left w:val="nil"/>
              <w:bottom w:val="nil"/>
              <w:right w:val="single" w:sz="8" w:space="0" w:color="auto"/>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10%</w:t>
            </w:r>
          </w:p>
        </w:tc>
      </w:tr>
      <w:tr w:rsidR="00CF771B" w:rsidRPr="003844FE" w:rsidTr="003844FE">
        <w:trPr>
          <w:trHeight w:val="405"/>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FIC Aberto - Investimento no Exterior</w:t>
            </w:r>
          </w:p>
        </w:tc>
        <w:tc>
          <w:tcPr>
            <w:tcW w:w="1418" w:type="dxa"/>
            <w:tcBorders>
              <w:top w:val="nil"/>
              <w:left w:val="nil"/>
              <w:bottom w:val="nil"/>
              <w:right w:val="nil"/>
            </w:tcBorders>
            <w:shd w:val="clear" w:color="auto" w:fill="auto"/>
            <w:noWrap/>
            <w:vAlign w:val="center"/>
            <w:hideMark/>
          </w:tcPr>
          <w:p w:rsidR="00CF771B" w:rsidRPr="003844FE" w:rsidRDefault="00CF771B" w:rsidP="00253E5F">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9º-A, II</w:t>
            </w:r>
          </w:p>
        </w:tc>
        <w:tc>
          <w:tcPr>
            <w:tcW w:w="1417"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10%</w:t>
            </w:r>
          </w:p>
        </w:tc>
        <w:tc>
          <w:tcPr>
            <w:tcW w:w="1134" w:type="dxa"/>
            <w:tcBorders>
              <w:top w:val="nil"/>
              <w:left w:val="nil"/>
              <w:bottom w:val="nil"/>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276" w:type="dxa"/>
            <w:tcBorders>
              <w:top w:val="nil"/>
              <w:left w:val="nil"/>
              <w:bottom w:val="nil"/>
              <w:right w:val="nil"/>
            </w:tcBorders>
            <w:shd w:val="clear" w:color="auto" w:fill="auto"/>
            <w:noWrap/>
            <w:vAlign w:val="center"/>
            <w:hideMark/>
          </w:tcPr>
          <w:p w:rsidR="00CF771B" w:rsidRPr="003844FE" w:rsidRDefault="00CF771B" w:rsidP="00D24789">
            <w:pPr>
              <w:spacing w:after="0" w:line="240" w:lineRule="auto"/>
              <w:jc w:val="center"/>
              <w:rPr>
                <w:rFonts w:ascii="Arial" w:eastAsia="Times New Roman" w:hAnsi="Arial" w:cs="Arial"/>
                <w:color w:val="000000"/>
                <w:sz w:val="16"/>
                <w:szCs w:val="16"/>
                <w:lang w:eastAsia="pt-BR"/>
              </w:rPr>
            </w:pPr>
          </w:p>
        </w:tc>
        <w:tc>
          <w:tcPr>
            <w:tcW w:w="1660" w:type="dxa"/>
            <w:tcBorders>
              <w:top w:val="nil"/>
              <w:left w:val="nil"/>
              <w:bottom w:val="nil"/>
              <w:right w:val="single" w:sz="8" w:space="0" w:color="auto"/>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10%</w:t>
            </w:r>
          </w:p>
        </w:tc>
      </w:tr>
      <w:tr w:rsidR="00CF771B" w:rsidRPr="003844FE" w:rsidTr="003844FE">
        <w:trPr>
          <w:trHeight w:val="408"/>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CF771B" w:rsidRPr="003844FE" w:rsidRDefault="00CF771B" w:rsidP="00CF771B">
            <w:pPr>
              <w:spacing w:after="0" w:line="240" w:lineRule="auto"/>
              <w:rPr>
                <w:rFonts w:ascii="Arial" w:eastAsia="Times New Roman" w:hAnsi="Arial" w:cs="Arial"/>
                <w:b/>
                <w:bCs/>
                <w:color w:val="000000"/>
                <w:sz w:val="16"/>
                <w:szCs w:val="16"/>
                <w:lang w:eastAsia="pt-BR"/>
              </w:rPr>
            </w:pPr>
          </w:p>
        </w:tc>
        <w:tc>
          <w:tcPr>
            <w:tcW w:w="3510" w:type="dxa"/>
            <w:tcBorders>
              <w:top w:val="nil"/>
              <w:left w:val="nil"/>
              <w:bottom w:val="single" w:sz="8" w:space="0" w:color="auto"/>
              <w:right w:val="nil"/>
            </w:tcBorders>
            <w:shd w:val="clear" w:color="000000" w:fill="BFBFBF"/>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FI Ações - BDR Nível I</w:t>
            </w:r>
          </w:p>
        </w:tc>
        <w:tc>
          <w:tcPr>
            <w:tcW w:w="1418" w:type="dxa"/>
            <w:tcBorders>
              <w:top w:val="nil"/>
              <w:left w:val="nil"/>
              <w:bottom w:val="single" w:sz="8" w:space="0" w:color="auto"/>
              <w:right w:val="nil"/>
            </w:tcBorders>
            <w:shd w:val="clear" w:color="000000" w:fill="BFBFBF"/>
            <w:noWrap/>
            <w:vAlign w:val="center"/>
            <w:hideMark/>
          </w:tcPr>
          <w:p w:rsidR="00CF771B" w:rsidRPr="003844FE" w:rsidRDefault="00CF771B" w:rsidP="00253E5F">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9º-A, III</w:t>
            </w:r>
          </w:p>
        </w:tc>
        <w:tc>
          <w:tcPr>
            <w:tcW w:w="1417" w:type="dxa"/>
            <w:tcBorders>
              <w:top w:val="nil"/>
              <w:left w:val="nil"/>
              <w:bottom w:val="single" w:sz="8" w:space="0" w:color="auto"/>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10%</w:t>
            </w:r>
          </w:p>
        </w:tc>
        <w:tc>
          <w:tcPr>
            <w:tcW w:w="1134" w:type="dxa"/>
            <w:tcBorders>
              <w:top w:val="nil"/>
              <w:left w:val="nil"/>
              <w:bottom w:val="single" w:sz="8" w:space="0" w:color="auto"/>
              <w:right w:val="nil"/>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276" w:type="dxa"/>
            <w:tcBorders>
              <w:top w:val="nil"/>
              <w:left w:val="nil"/>
              <w:bottom w:val="single" w:sz="8" w:space="0" w:color="auto"/>
              <w:right w:val="nil"/>
            </w:tcBorders>
            <w:shd w:val="clear" w:color="000000" w:fill="BFBFBF"/>
            <w:noWrap/>
            <w:vAlign w:val="center"/>
            <w:hideMark/>
          </w:tcPr>
          <w:p w:rsidR="00CF771B" w:rsidRPr="003844FE" w:rsidRDefault="00D24789" w:rsidP="005341CE">
            <w:pPr>
              <w:spacing w:after="0" w:line="240" w:lineRule="auto"/>
              <w:jc w:val="center"/>
              <w:rPr>
                <w:rFonts w:ascii="Arial" w:eastAsia="Times New Roman" w:hAnsi="Arial" w:cs="Arial"/>
                <w:color w:val="000000"/>
                <w:sz w:val="16"/>
                <w:szCs w:val="16"/>
                <w:lang w:eastAsia="pt-BR"/>
              </w:rPr>
            </w:pPr>
            <w:r w:rsidRPr="005E5B32">
              <w:rPr>
                <w:rFonts w:ascii="Arial" w:eastAsia="Times New Roman" w:hAnsi="Arial" w:cs="Arial"/>
                <w:color w:val="000000"/>
                <w:sz w:val="16"/>
                <w:szCs w:val="16"/>
                <w:lang w:eastAsia="pt-BR"/>
              </w:rPr>
              <w:t>1,0</w:t>
            </w:r>
            <w:r w:rsidR="00CF771B" w:rsidRPr="005E5B32">
              <w:rPr>
                <w:rFonts w:ascii="Arial" w:eastAsia="Times New Roman" w:hAnsi="Arial" w:cs="Arial"/>
                <w:color w:val="000000"/>
                <w:sz w:val="16"/>
                <w:szCs w:val="16"/>
                <w:lang w:eastAsia="pt-BR"/>
              </w:rPr>
              <w:t>%</w:t>
            </w:r>
          </w:p>
        </w:tc>
        <w:tc>
          <w:tcPr>
            <w:tcW w:w="1660" w:type="dxa"/>
            <w:tcBorders>
              <w:top w:val="nil"/>
              <w:left w:val="nil"/>
              <w:bottom w:val="single" w:sz="8" w:space="0" w:color="auto"/>
              <w:right w:val="single" w:sz="8" w:space="0" w:color="auto"/>
            </w:tcBorders>
            <w:shd w:val="clear" w:color="000000" w:fill="BFBFBF"/>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10%</w:t>
            </w:r>
          </w:p>
        </w:tc>
      </w:tr>
      <w:tr w:rsidR="00CF771B" w:rsidRPr="003844FE" w:rsidTr="00CF771B">
        <w:trPr>
          <w:trHeight w:val="162"/>
        </w:trPr>
        <w:tc>
          <w:tcPr>
            <w:tcW w:w="460" w:type="dxa"/>
            <w:tcBorders>
              <w:top w:val="nil"/>
              <w:left w:val="nil"/>
              <w:bottom w:val="nil"/>
              <w:right w:val="nil"/>
            </w:tcBorders>
            <w:shd w:val="clear" w:color="auto" w:fill="auto"/>
            <w:textDirection w:val="btLr"/>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p>
        </w:tc>
        <w:tc>
          <w:tcPr>
            <w:tcW w:w="3510" w:type="dxa"/>
            <w:tcBorders>
              <w:top w:val="nil"/>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418" w:type="dxa"/>
            <w:tcBorders>
              <w:top w:val="nil"/>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417" w:type="dxa"/>
            <w:tcBorders>
              <w:top w:val="nil"/>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 </w:t>
            </w:r>
          </w:p>
        </w:tc>
        <w:tc>
          <w:tcPr>
            <w:tcW w:w="1134" w:type="dxa"/>
            <w:tcBorders>
              <w:top w:val="nil"/>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276" w:type="dxa"/>
            <w:tcBorders>
              <w:top w:val="nil"/>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660" w:type="dxa"/>
            <w:tcBorders>
              <w:top w:val="nil"/>
              <w:left w:val="nil"/>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r>
      <w:tr w:rsidR="00CF771B" w:rsidRPr="003844FE" w:rsidTr="003844FE">
        <w:trPr>
          <w:trHeight w:val="262"/>
        </w:trPr>
        <w:tc>
          <w:tcPr>
            <w:tcW w:w="460"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3510" w:type="dxa"/>
            <w:tcBorders>
              <w:top w:val="nil"/>
              <w:left w:val="single" w:sz="8" w:space="0" w:color="auto"/>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SUBTOTAL</w:t>
            </w:r>
          </w:p>
        </w:tc>
        <w:tc>
          <w:tcPr>
            <w:tcW w:w="1418" w:type="dxa"/>
            <w:tcBorders>
              <w:top w:val="nil"/>
              <w:left w:val="nil"/>
              <w:bottom w:val="single" w:sz="8" w:space="0" w:color="auto"/>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417" w:type="dxa"/>
            <w:tcBorders>
              <w:top w:val="nil"/>
              <w:left w:val="nil"/>
              <w:bottom w:val="single" w:sz="8" w:space="0" w:color="auto"/>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134" w:type="dxa"/>
            <w:tcBorders>
              <w:top w:val="nil"/>
              <w:left w:val="nil"/>
              <w:bottom w:val="single" w:sz="8" w:space="0" w:color="auto"/>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276" w:type="dxa"/>
            <w:tcBorders>
              <w:top w:val="nil"/>
              <w:left w:val="nil"/>
              <w:bottom w:val="single" w:sz="8" w:space="0" w:color="auto"/>
              <w:right w:val="nil"/>
            </w:tcBorders>
            <w:shd w:val="clear" w:color="auto" w:fill="auto"/>
            <w:noWrap/>
            <w:vAlign w:val="center"/>
            <w:hideMark/>
          </w:tcPr>
          <w:p w:rsidR="00CF771B" w:rsidRPr="003844FE" w:rsidRDefault="000E37B5" w:rsidP="009F5311">
            <w:pPr>
              <w:spacing w:after="0" w:line="240"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1,0</w:t>
            </w:r>
            <w:r w:rsidR="00CF771B" w:rsidRPr="003844FE">
              <w:rPr>
                <w:rFonts w:ascii="Arial" w:eastAsia="Times New Roman" w:hAnsi="Arial" w:cs="Arial"/>
                <w:b/>
                <w:bCs/>
                <w:color w:val="000000"/>
                <w:sz w:val="16"/>
                <w:szCs w:val="16"/>
                <w:lang w:eastAsia="pt-BR"/>
              </w:rPr>
              <w:t>%</w:t>
            </w:r>
          </w:p>
        </w:tc>
        <w:tc>
          <w:tcPr>
            <w:tcW w:w="1660" w:type="dxa"/>
            <w:tcBorders>
              <w:top w:val="nil"/>
              <w:left w:val="nil"/>
              <w:bottom w:val="single" w:sz="8" w:space="0" w:color="auto"/>
              <w:right w:val="single" w:sz="8" w:space="0" w:color="auto"/>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r>
      <w:tr w:rsidR="00CF771B" w:rsidRPr="003844FE" w:rsidTr="00CF771B">
        <w:trPr>
          <w:trHeight w:val="102"/>
        </w:trPr>
        <w:tc>
          <w:tcPr>
            <w:tcW w:w="460"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3510"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rPr>
                <w:rFonts w:ascii="Arial" w:eastAsia="Times New Roman" w:hAnsi="Arial" w:cs="Arial"/>
                <w:color w:val="000000"/>
                <w:sz w:val="16"/>
                <w:szCs w:val="16"/>
                <w:lang w:eastAsia="pt-BR"/>
              </w:rPr>
            </w:pPr>
          </w:p>
        </w:tc>
        <w:tc>
          <w:tcPr>
            <w:tcW w:w="1418"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417"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134"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276"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1660"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r>
      <w:tr w:rsidR="00CF771B" w:rsidRPr="003844FE" w:rsidTr="003844FE">
        <w:trPr>
          <w:trHeight w:val="316"/>
        </w:trPr>
        <w:tc>
          <w:tcPr>
            <w:tcW w:w="460" w:type="dxa"/>
            <w:tcBorders>
              <w:top w:val="nil"/>
              <w:left w:val="nil"/>
              <w:bottom w:val="nil"/>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p>
        </w:tc>
        <w:tc>
          <w:tcPr>
            <w:tcW w:w="3510" w:type="dxa"/>
            <w:tcBorders>
              <w:top w:val="single" w:sz="8" w:space="0" w:color="auto"/>
              <w:left w:val="single" w:sz="8" w:space="0" w:color="auto"/>
              <w:bottom w:val="single" w:sz="8" w:space="0" w:color="auto"/>
              <w:right w:val="nil"/>
            </w:tcBorders>
            <w:shd w:val="clear" w:color="auto" w:fill="auto"/>
            <w:noWrap/>
            <w:vAlign w:val="center"/>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TOTAL GERAL</w:t>
            </w:r>
          </w:p>
        </w:tc>
        <w:tc>
          <w:tcPr>
            <w:tcW w:w="1418" w:type="dxa"/>
            <w:tcBorders>
              <w:top w:val="single" w:sz="8" w:space="0" w:color="auto"/>
              <w:left w:val="nil"/>
              <w:bottom w:val="single" w:sz="8" w:space="0" w:color="auto"/>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417" w:type="dxa"/>
            <w:tcBorders>
              <w:top w:val="single" w:sz="8" w:space="0" w:color="auto"/>
              <w:left w:val="nil"/>
              <w:bottom w:val="single" w:sz="8" w:space="0" w:color="auto"/>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134" w:type="dxa"/>
            <w:tcBorders>
              <w:top w:val="single" w:sz="8" w:space="0" w:color="auto"/>
              <w:left w:val="nil"/>
              <w:bottom w:val="single" w:sz="8" w:space="0" w:color="auto"/>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c>
          <w:tcPr>
            <w:tcW w:w="1276" w:type="dxa"/>
            <w:tcBorders>
              <w:top w:val="single" w:sz="8" w:space="0" w:color="auto"/>
              <w:left w:val="nil"/>
              <w:bottom w:val="single" w:sz="8" w:space="0" w:color="auto"/>
              <w:right w:val="nil"/>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b/>
                <w:bCs/>
                <w:color w:val="000000"/>
                <w:sz w:val="16"/>
                <w:szCs w:val="16"/>
                <w:lang w:eastAsia="pt-BR"/>
              </w:rPr>
            </w:pPr>
            <w:r w:rsidRPr="003844FE">
              <w:rPr>
                <w:rFonts w:ascii="Arial" w:eastAsia="Times New Roman" w:hAnsi="Arial" w:cs="Arial"/>
                <w:b/>
                <w:bCs/>
                <w:color w:val="000000"/>
                <w:sz w:val="16"/>
                <w:szCs w:val="16"/>
                <w:lang w:eastAsia="pt-BR"/>
              </w:rPr>
              <w:t>100%</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CF771B" w:rsidRPr="003844FE" w:rsidRDefault="00CF771B" w:rsidP="00CF771B">
            <w:pPr>
              <w:spacing w:after="0" w:line="240" w:lineRule="auto"/>
              <w:jc w:val="center"/>
              <w:rPr>
                <w:rFonts w:ascii="Arial" w:eastAsia="Times New Roman" w:hAnsi="Arial" w:cs="Arial"/>
                <w:color w:val="000000"/>
                <w:sz w:val="16"/>
                <w:szCs w:val="16"/>
                <w:lang w:eastAsia="pt-BR"/>
              </w:rPr>
            </w:pPr>
            <w:r w:rsidRPr="003844FE">
              <w:rPr>
                <w:rFonts w:ascii="Arial" w:eastAsia="Times New Roman" w:hAnsi="Arial" w:cs="Arial"/>
                <w:color w:val="000000"/>
                <w:sz w:val="16"/>
                <w:szCs w:val="16"/>
                <w:lang w:eastAsia="pt-BR"/>
              </w:rPr>
              <w:t> </w:t>
            </w:r>
          </w:p>
        </w:tc>
      </w:tr>
    </w:tbl>
    <w:p w:rsidR="00CF771B" w:rsidRDefault="00CF771B" w:rsidP="00CF771B">
      <w:pPr>
        <w:spacing w:line="360" w:lineRule="auto"/>
        <w:jc w:val="both"/>
        <w:rPr>
          <w:rFonts w:ascii="Arial" w:hAnsi="Arial" w:cs="Arial"/>
        </w:rPr>
      </w:pPr>
    </w:p>
    <w:p w:rsidR="00CF771B" w:rsidRPr="006A083D" w:rsidRDefault="00CF771B" w:rsidP="00CF771B">
      <w:pPr>
        <w:pStyle w:val="Ttulo1"/>
        <w:rPr>
          <w:rFonts w:ascii="Arial" w:hAnsi="Arial" w:cs="Arial"/>
          <w:b w:val="0"/>
          <w:color w:val="000000"/>
          <w:sz w:val="22"/>
          <w:szCs w:val="24"/>
        </w:rPr>
      </w:pPr>
      <w:bookmarkStart w:id="25" w:name="_Toc536189705"/>
      <w:bookmarkStart w:id="26" w:name="_Toc20133932"/>
      <w:r w:rsidRPr="006A083D">
        <w:rPr>
          <w:rFonts w:ascii="Arial" w:hAnsi="Arial" w:cs="Arial"/>
          <w:color w:val="000000"/>
          <w:sz w:val="22"/>
          <w:szCs w:val="24"/>
        </w:rPr>
        <w:lastRenderedPageBreak/>
        <w:t>7. CONSIDERAÇÕES FINAIS</w:t>
      </w:r>
      <w:bookmarkEnd w:id="25"/>
      <w:bookmarkEnd w:id="26"/>
    </w:p>
    <w:p w:rsidR="00CF771B" w:rsidRPr="006A083D" w:rsidRDefault="00CF771B" w:rsidP="00CF771B">
      <w:pPr>
        <w:widowControl w:val="0"/>
        <w:spacing w:before="60" w:after="60" w:line="360" w:lineRule="auto"/>
        <w:ind w:firstLine="709"/>
        <w:jc w:val="both"/>
        <w:rPr>
          <w:rFonts w:ascii="Arial" w:hAnsi="Arial" w:cs="Arial"/>
          <w:color w:val="000000"/>
          <w:szCs w:val="24"/>
        </w:rPr>
      </w:pPr>
    </w:p>
    <w:p w:rsidR="00CF771B" w:rsidRPr="006A083D" w:rsidRDefault="00CF771B" w:rsidP="00CF771B">
      <w:pPr>
        <w:widowControl w:val="0"/>
        <w:spacing w:before="60" w:after="60" w:line="360" w:lineRule="auto"/>
        <w:ind w:firstLine="709"/>
        <w:jc w:val="both"/>
        <w:rPr>
          <w:rFonts w:ascii="Arial" w:hAnsi="Arial" w:cs="Arial"/>
          <w:color w:val="000000"/>
          <w:szCs w:val="24"/>
        </w:rPr>
      </w:pPr>
      <w:r w:rsidRPr="006A083D">
        <w:rPr>
          <w:rFonts w:ascii="Arial" w:hAnsi="Arial" w:cs="Arial"/>
          <w:color w:val="000000"/>
          <w:szCs w:val="24"/>
        </w:rPr>
        <w:t>Para a execução desta Política Anual de Investimento e cumprimento da legislação em vigor, será obrigatória a realização de relatórios mensais, trimestrais, semestrais e anuais de rentabilidade, tendo como parâmetro de análise a variação dos Índices e Meta atuarial e o acompanhamento destes nas reuniões periódicas do Comitê de Investimento e/ou Conselho.</w:t>
      </w:r>
    </w:p>
    <w:p w:rsidR="00CF771B" w:rsidRPr="006A083D" w:rsidRDefault="00CF771B" w:rsidP="00CF771B">
      <w:pPr>
        <w:widowControl w:val="0"/>
        <w:tabs>
          <w:tab w:val="left" w:pos="1440"/>
        </w:tabs>
        <w:spacing w:before="60" w:after="60" w:line="360" w:lineRule="auto"/>
        <w:ind w:firstLine="709"/>
        <w:jc w:val="both"/>
        <w:rPr>
          <w:rFonts w:ascii="Arial" w:hAnsi="Arial" w:cs="Arial"/>
          <w:szCs w:val="24"/>
        </w:rPr>
      </w:pPr>
      <w:r w:rsidRPr="006A083D">
        <w:rPr>
          <w:rFonts w:ascii="Arial" w:hAnsi="Arial" w:cs="Arial"/>
          <w:szCs w:val="24"/>
        </w:rPr>
        <w:t>No tocante a operacionalidade de credenciamento e seleção de prestadores de serviços será observada os aspectos determinados pela Portaria MPS 519/2011.</w:t>
      </w:r>
    </w:p>
    <w:p w:rsidR="00CF771B" w:rsidRPr="006A083D" w:rsidRDefault="00CF771B" w:rsidP="00CF771B">
      <w:pPr>
        <w:widowControl w:val="0"/>
        <w:tabs>
          <w:tab w:val="left" w:pos="1440"/>
        </w:tabs>
        <w:spacing w:before="60" w:after="60" w:line="360" w:lineRule="auto"/>
        <w:ind w:firstLine="709"/>
        <w:jc w:val="both"/>
        <w:rPr>
          <w:rFonts w:ascii="Arial" w:hAnsi="Arial" w:cs="Arial"/>
          <w:color w:val="000000" w:themeColor="text1"/>
        </w:rPr>
      </w:pPr>
      <w:r w:rsidRPr="006A083D">
        <w:rPr>
          <w:rFonts w:ascii="Arial" w:hAnsi="Arial" w:cs="Arial"/>
          <w:color w:val="000000" w:themeColor="text1"/>
        </w:rPr>
        <w:t>Este regime próprio de previdência social deve avaliar a capacidade técnica e potenciais conflitos de interesse de seus prestadores de serviços e das pessoas que participam do processo decisório, inclusive por meio de assessoramento. O conflito de interesse será configurado em quaisquer situações em que possam ser identificadas ações que não estejam alinhadas aos objetivos do regime próprio de previdência social independentemente de obtenção de vantagem para si ou para outrem, da qual resulte ou não prejuízo.</w:t>
      </w:r>
    </w:p>
    <w:p w:rsidR="00CF771B" w:rsidRPr="006A083D" w:rsidRDefault="00CF771B" w:rsidP="00CF771B">
      <w:pPr>
        <w:widowControl w:val="0"/>
        <w:tabs>
          <w:tab w:val="left" w:pos="1440"/>
        </w:tabs>
        <w:spacing w:before="60" w:after="60" w:line="360" w:lineRule="auto"/>
        <w:ind w:firstLine="709"/>
        <w:jc w:val="both"/>
        <w:rPr>
          <w:rFonts w:ascii="Arial" w:hAnsi="Arial" w:cs="Arial"/>
          <w:color w:val="000000" w:themeColor="text1"/>
        </w:rPr>
      </w:pPr>
      <w:r w:rsidRPr="006A083D">
        <w:rPr>
          <w:rFonts w:ascii="Arial" w:hAnsi="Arial" w:cs="Arial"/>
          <w:color w:val="000000" w:themeColor="text1"/>
        </w:rPr>
        <w:t xml:space="preserve">Não serão considerados como infringência dos limites de aplicações estabelecidos nesta Resolução os eventuais </w:t>
      </w:r>
      <w:proofErr w:type="spellStart"/>
      <w:r w:rsidRPr="006A083D">
        <w:rPr>
          <w:rFonts w:ascii="Arial" w:hAnsi="Arial" w:cs="Arial"/>
          <w:color w:val="000000" w:themeColor="text1"/>
        </w:rPr>
        <w:t>desenquadramentos</w:t>
      </w:r>
      <w:proofErr w:type="spellEnd"/>
      <w:r w:rsidRPr="006A083D">
        <w:rPr>
          <w:rFonts w:ascii="Arial" w:hAnsi="Arial" w:cs="Arial"/>
          <w:color w:val="000000" w:themeColor="text1"/>
        </w:rPr>
        <w:t xml:space="preserve"> decorrentes de valorização ou desvalorização de ativos financeiros que não excedam 25% (vinte e cinco por cento) do limite definido no inciso VII do art. 7º e nos incisos III e IV do art. 8º.</w:t>
      </w:r>
    </w:p>
    <w:p w:rsidR="00CF771B" w:rsidRPr="006A083D" w:rsidRDefault="00CF771B" w:rsidP="00CF771B">
      <w:pPr>
        <w:widowControl w:val="0"/>
        <w:tabs>
          <w:tab w:val="left" w:pos="1440"/>
        </w:tabs>
        <w:spacing w:before="60" w:after="60" w:line="360" w:lineRule="auto"/>
        <w:ind w:firstLine="709"/>
        <w:jc w:val="both"/>
        <w:rPr>
          <w:rFonts w:ascii="Arial" w:hAnsi="Arial" w:cs="Arial"/>
          <w:color w:val="000000" w:themeColor="text1"/>
        </w:rPr>
      </w:pPr>
      <w:r w:rsidRPr="006A083D">
        <w:rPr>
          <w:rFonts w:ascii="Arial" w:hAnsi="Arial" w:cs="Arial"/>
          <w:color w:val="000000" w:themeColor="text1"/>
        </w:rPr>
        <w:t xml:space="preserve"> Serão avaliados os custos decorrentes das aplicações, inclusive daquelas efetuadas por meio de fundos de investimento e divulga</w:t>
      </w:r>
      <w:r w:rsidR="00A4000A">
        <w:rPr>
          <w:rFonts w:ascii="Arial" w:hAnsi="Arial" w:cs="Arial"/>
          <w:color w:val="000000" w:themeColor="text1"/>
        </w:rPr>
        <w:t>das</w:t>
      </w:r>
      <w:r w:rsidRPr="006A083D">
        <w:rPr>
          <w:rFonts w:ascii="Arial" w:hAnsi="Arial" w:cs="Arial"/>
          <w:color w:val="000000" w:themeColor="text1"/>
        </w:rPr>
        <w:t xml:space="preserve"> as despesas com as aplicações e com a contratação de prestadores de serviços.</w:t>
      </w:r>
    </w:p>
    <w:p w:rsidR="00CF771B" w:rsidRPr="00945C9A" w:rsidRDefault="00CF771B" w:rsidP="00CF771B">
      <w:pPr>
        <w:widowControl w:val="0"/>
        <w:tabs>
          <w:tab w:val="left" w:pos="1440"/>
        </w:tabs>
        <w:spacing w:before="60" w:after="60" w:line="360" w:lineRule="auto"/>
        <w:ind w:firstLine="709"/>
        <w:jc w:val="both"/>
        <w:rPr>
          <w:rFonts w:ascii="Arial" w:hAnsi="Arial" w:cs="Arial"/>
          <w:szCs w:val="24"/>
        </w:rPr>
      </w:pPr>
      <w:r w:rsidRPr="00945C9A">
        <w:rPr>
          <w:rFonts w:ascii="Arial" w:hAnsi="Arial" w:cs="Arial"/>
          <w:szCs w:val="24"/>
        </w:rPr>
        <w:t>Essa Política Anual de Investimentos foi elaborada com base na atualização mais recente da Res. CMN nº 3.922/2010, Res. CMN nº 4.604/2017 e Res. CMN nº 4.695/ 2018</w:t>
      </w:r>
      <w:r>
        <w:rPr>
          <w:rFonts w:ascii="Arial" w:hAnsi="Arial" w:cs="Arial"/>
          <w:szCs w:val="24"/>
        </w:rPr>
        <w:t xml:space="preserve"> e Portaria MF 464/2018.</w:t>
      </w:r>
    </w:p>
    <w:p w:rsidR="00CF771B" w:rsidRPr="006A083D" w:rsidRDefault="00CF771B" w:rsidP="00CF771B">
      <w:pPr>
        <w:widowControl w:val="0"/>
        <w:tabs>
          <w:tab w:val="left" w:pos="1440"/>
        </w:tabs>
        <w:spacing w:before="60" w:after="60" w:line="360" w:lineRule="auto"/>
        <w:ind w:firstLine="709"/>
        <w:jc w:val="both"/>
        <w:rPr>
          <w:rFonts w:ascii="Arial" w:hAnsi="Arial" w:cs="Arial"/>
          <w:color w:val="000000"/>
          <w:szCs w:val="24"/>
        </w:rPr>
      </w:pPr>
    </w:p>
    <w:p w:rsidR="00CF771B" w:rsidRPr="006A083D" w:rsidRDefault="001F2F41" w:rsidP="00CF771B">
      <w:pPr>
        <w:keepLines/>
        <w:spacing w:line="360" w:lineRule="auto"/>
        <w:ind w:firstLine="709"/>
        <w:jc w:val="both"/>
        <w:rPr>
          <w:rFonts w:ascii="Arial" w:hAnsi="Arial" w:cs="Arial"/>
          <w:szCs w:val="24"/>
        </w:rPr>
      </w:pPr>
      <w:r>
        <w:rPr>
          <w:rFonts w:ascii="Arial" w:hAnsi="Arial" w:cs="Arial"/>
          <w:szCs w:val="24"/>
        </w:rPr>
        <w:t>Jaciara/MT, 08 de Dezembro de 2020.</w:t>
      </w:r>
    </w:p>
    <w:p w:rsidR="00CF771B" w:rsidRPr="006A083D" w:rsidRDefault="00CF771B" w:rsidP="00CF771B">
      <w:pPr>
        <w:keepLines/>
        <w:spacing w:line="360" w:lineRule="auto"/>
        <w:ind w:firstLine="709"/>
        <w:jc w:val="both"/>
        <w:rPr>
          <w:rFonts w:ascii="Arial" w:hAnsi="Arial" w:cs="Arial"/>
          <w:szCs w:val="24"/>
        </w:rPr>
      </w:pPr>
    </w:p>
    <w:p w:rsidR="00D8150F" w:rsidRPr="00C01C92" w:rsidRDefault="00D8150F" w:rsidP="00D8150F">
      <w:pPr>
        <w:keepLines/>
        <w:spacing w:line="360" w:lineRule="auto"/>
        <w:jc w:val="center"/>
        <w:rPr>
          <w:rFonts w:ascii="Times New Roman" w:hAnsi="Times New Roman"/>
          <w:b/>
          <w:sz w:val="24"/>
          <w:szCs w:val="24"/>
        </w:rPr>
      </w:pPr>
      <w:r>
        <w:rPr>
          <w:rFonts w:ascii="Times New Roman" w:hAnsi="Times New Roman"/>
          <w:b/>
          <w:sz w:val="24"/>
          <w:szCs w:val="24"/>
        </w:rPr>
        <w:t>MENAH REMBERG GUIMARAES DA SILVA</w:t>
      </w:r>
    </w:p>
    <w:p w:rsidR="00D8150F" w:rsidRPr="00837D4F" w:rsidRDefault="00D8150F" w:rsidP="00D8150F">
      <w:pPr>
        <w:keepLines/>
        <w:spacing w:line="360" w:lineRule="auto"/>
        <w:jc w:val="center"/>
        <w:rPr>
          <w:rFonts w:ascii="Times New Roman" w:hAnsi="Times New Roman"/>
          <w:sz w:val="24"/>
          <w:szCs w:val="24"/>
        </w:rPr>
      </w:pPr>
      <w:r>
        <w:rPr>
          <w:rFonts w:ascii="Times New Roman" w:hAnsi="Times New Roman"/>
          <w:sz w:val="24"/>
          <w:szCs w:val="24"/>
        </w:rPr>
        <w:t>Diretor Executivo e Gestor</w:t>
      </w:r>
      <w:proofErr w:type="gramStart"/>
      <w:r>
        <w:rPr>
          <w:rFonts w:ascii="Times New Roman" w:hAnsi="Times New Roman"/>
          <w:sz w:val="24"/>
          <w:szCs w:val="24"/>
        </w:rPr>
        <w:t xml:space="preserve">  </w:t>
      </w:r>
      <w:proofErr w:type="gramEnd"/>
      <w:r>
        <w:rPr>
          <w:rFonts w:ascii="Times New Roman" w:hAnsi="Times New Roman"/>
          <w:sz w:val="24"/>
          <w:szCs w:val="24"/>
        </w:rPr>
        <w:t xml:space="preserve">da </w:t>
      </w:r>
      <w:proofErr w:type="spellStart"/>
      <w:r>
        <w:rPr>
          <w:rFonts w:ascii="Times New Roman" w:hAnsi="Times New Roman"/>
          <w:sz w:val="24"/>
          <w:szCs w:val="24"/>
        </w:rPr>
        <w:t>Prev</w:t>
      </w:r>
      <w:proofErr w:type="spellEnd"/>
      <w:r>
        <w:rPr>
          <w:rFonts w:ascii="Times New Roman" w:hAnsi="Times New Roman"/>
          <w:sz w:val="24"/>
          <w:szCs w:val="24"/>
        </w:rPr>
        <w:t>-Jaci</w:t>
      </w:r>
    </w:p>
    <w:p w:rsidR="00D8150F" w:rsidRPr="005F5BCE" w:rsidRDefault="00D8150F" w:rsidP="00D8150F">
      <w:pPr>
        <w:keepLines/>
        <w:spacing w:line="360" w:lineRule="auto"/>
        <w:ind w:firstLine="709"/>
        <w:jc w:val="center"/>
        <w:rPr>
          <w:rFonts w:ascii="Arial" w:hAnsi="Arial" w:cs="Arial"/>
          <w:szCs w:val="24"/>
        </w:rPr>
      </w:pPr>
    </w:p>
    <w:sectPr w:rsidR="00D8150F" w:rsidRPr="005F5BCE" w:rsidSect="00D24789">
      <w:footerReference w:type="default" r:id="rId12"/>
      <w:pgSz w:w="11906" w:h="16838"/>
      <w:pgMar w:top="1843" w:right="1701" w:bottom="1417" w:left="1701" w:header="993"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B55" w:rsidRDefault="00444B55" w:rsidP="00571D98">
      <w:pPr>
        <w:spacing w:after="0" w:line="240" w:lineRule="auto"/>
      </w:pPr>
      <w:r>
        <w:separator/>
      </w:r>
    </w:p>
  </w:endnote>
  <w:endnote w:type="continuationSeparator" w:id="0">
    <w:p w:rsidR="00444B55" w:rsidRDefault="00444B55" w:rsidP="00571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179736"/>
      <w:docPartObj>
        <w:docPartGallery w:val="Page Numbers (Bottom of Page)"/>
        <w:docPartUnique/>
      </w:docPartObj>
    </w:sdtPr>
    <w:sdtEndPr/>
    <w:sdtContent>
      <w:p w:rsidR="001F2F41" w:rsidRDefault="001F2F41">
        <w:pPr>
          <w:pStyle w:val="Rodap"/>
          <w:jc w:val="right"/>
        </w:pPr>
        <w:r>
          <w:rPr>
            <w:noProof/>
          </w:rPr>
          <w:fldChar w:fldCharType="begin"/>
        </w:r>
        <w:r>
          <w:rPr>
            <w:noProof/>
          </w:rPr>
          <w:instrText>PAGE   \* MERGEFORMAT</w:instrText>
        </w:r>
        <w:r>
          <w:rPr>
            <w:noProof/>
          </w:rPr>
          <w:fldChar w:fldCharType="separate"/>
        </w:r>
        <w:r w:rsidR="00FA2F70">
          <w:rPr>
            <w:noProof/>
          </w:rPr>
          <w:t>3</w:t>
        </w:r>
        <w:r>
          <w:rPr>
            <w:noProof/>
          </w:rPr>
          <w:fldChar w:fldCharType="end"/>
        </w:r>
      </w:p>
    </w:sdtContent>
  </w:sdt>
  <w:p w:rsidR="001F2F41" w:rsidRDefault="001F2F4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B55" w:rsidRDefault="00444B55" w:rsidP="00571D98">
      <w:pPr>
        <w:spacing w:after="0" w:line="240" w:lineRule="auto"/>
      </w:pPr>
      <w:r>
        <w:separator/>
      </w:r>
    </w:p>
  </w:footnote>
  <w:footnote w:type="continuationSeparator" w:id="0">
    <w:p w:rsidR="00444B55" w:rsidRDefault="00444B55" w:rsidP="00571D98">
      <w:pPr>
        <w:spacing w:after="0" w:line="240" w:lineRule="auto"/>
      </w:pPr>
      <w:r>
        <w:continuationSeparator/>
      </w:r>
    </w:p>
  </w:footnote>
  <w:footnote w:id="1">
    <w:p w:rsidR="001F2F41" w:rsidRPr="00A172FB" w:rsidRDefault="001F2F41" w:rsidP="00CF771B">
      <w:pPr>
        <w:pStyle w:val="Textodenotaderodap"/>
        <w:spacing w:line="360" w:lineRule="auto"/>
        <w:rPr>
          <w:rFonts w:ascii="Arial" w:hAnsi="Arial" w:cs="Arial"/>
        </w:rPr>
      </w:pPr>
      <w:r w:rsidRPr="00A172FB">
        <w:rPr>
          <w:rStyle w:val="Refdenotaderodap"/>
          <w:rFonts w:ascii="Arial" w:hAnsi="Arial" w:cs="Arial"/>
        </w:rPr>
        <w:footnoteRef/>
      </w:r>
      <w:r w:rsidRPr="00A172FB">
        <w:rPr>
          <w:rFonts w:ascii="Arial" w:hAnsi="Arial" w:cs="Arial"/>
        </w:rPr>
        <w:t xml:space="preserve"> Profissional aprovado em exame de certificação organizado por entidade autônoma de reconhecida capacidade técnica e difusão no mercado brasileiro de capitais.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D15BD"/>
    <w:multiLevelType w:val="hybridMultilevel"/>
    <w:tmpl w:val="46848310"/>
    <w:lvl w:ilvl="0" w:tplc="17C4FDE8">
      <w:start w:val="1"/>
      <w:numFmt w:val="bullet"/>
      <w:suff w:val="nothing"/>
      <w:lvlText w:val=""/>
      <w:lvlJc w:val="left"/>
      <w:pPr>
        <w:ind w:left="-544" w:hanging="360"/>
      </w:pPr>
      <w:rPr>
        <w:rFonts w:ascii="Symbol" w:hAnsi="Symbol" w:hint="default"/>
      </w:rPr>
    </w:lvl>
    <w:lvl w:ilvl="1" w:tplc="04160003">
      <w:start w:val="1"/>
      <w:numFmt w:val="bullet"/>
      <w:lvlText w:val="o"/>
      <w:lvlJc w:val="left"/>
      <w:pPr>
        <w:ind w:left="176" w:hanging="360"/>
      </w:pPr>
      <w:rPr>
        <w:rFonts w:ascii="Courier New" w:hAnsi="Courier New" w:cs="Courier New" w:hint="default"/>
      </w:rPr>
    </w:lvl>
    <w:lvl w:ilvl="2" w:tplc="04160005" w:tentative="1">
      <w:start w:val="1"/>
      <w:numFmt w:val="bullet"/>
      <w:lvlText w:val=""/>
      <w:lvlJc w:val="left"/>
      <w:pPr>
        <w:ind w:left="896" w:hanging="360"/>
      </w:pPr>
      <w:rPr>
        <w:rFonts w:ascii="Wingdings" w:hAnsi="Wingdings" w:hint="default"/>
      </w:rPr>
    </w:lvl>
    <w:lvl w:ilvl="3" w:tplc="04160001" w:tentative="1">
      <w:start w:val="1"/>
      <w:numFmt w:val="bullet"/>
      <w:lvlText w:val=""/>
      <w:lvlJc w:val="left"/>
      <w:pPr>
        <w:ind w:left="1616" w:hanging="360"/>
      </w:pPr>
      <w:rPr>
        <w:rFonts w:ascii="Symbol" w:hAnsi="Symbol" w:hint="default"/>
      </w:rPr>
    </w:lvl>
    <w:lvl w:ilvl="4" w:tplc="04160003" w:tentative="1">
      <w:start w:val="1"/>
      <w:numFmt w:val="bullet"/>
      <w:lvlText w:val="o"/>
      <w:lvlJc w:val="left"/>
      <w:pPr>
        <w:ind w:left="2336" w:hanging="360"/>
      </w:pPr>
      <w:rPr>
        <w:rFonts w:ascii="Courier New" w:hAnsi="Courier New" w:cs="Courier New" w:hint="default"/>
      </w:rPr>
    </w:lvl>
    <w:lvl w:ilvl="5" w:tplc="04160005" w:tentative="1">
      <w:start w:val="1"/>
      <w:numFmt w:val="bullet"/>
      <w:lvlText w:val=""/>
      <w:lvlJc w:val="left"/>
      <w:pPr>
        <w:ind w:left="3056" w:hanging="360"/>
      </w:pPr>
      <w:rPr>
        <w:rFonts w:ascii="Wingdings" w:hAnsi="Wingdings" w:hint="default"/>
      </w:rPr>
    </w:lvl>
    <w:lvl w:ilvl="6" w:tplc="04160001" w:tentative="1">
      <w:start w:val="1"/>
      <w:numFmt w:val="bullet"/>
      <w:lvlText w:val=""/>
      <w:lvlJc w:val="left"/>
      <w:pPr>
        <w:ind w:left="3776" w:hanging="360"/>
      </w:pPr>
      <w:rPr>
        <w:rFonts w:ascii="Symbol" w:hAnsi="Symbol" w:hint="default"/>
      </w:rPr>
    </w:lvl>
    <w:lvl w:ilvl="7" w:tplc="04160003" w:tentative="1">
      <w:start w:val="1"/>
      <w:numFmt w:val="bullet"/>
      <w:lvlText w:val="o"/>
      <w:lvlJc w:val="left"/>
      <w:pPr>
        <w:ind w:left="4496" w:hanging="360"/>
      </w:pPr>
      <w:rPr>
        <w:rFonts w:ascii="Courier New" w:hAnsi="Courier New" w:cs="Courier New" w:hint="default"/>
      </w:rPr>
    </w:lvl>
    <w:lvl w:ilvl="8" w:tplc="04160005" w:tentative="1">
      <w:start w:val="1"/>
      <w:numFmt w:val="bullet"/>
      <w:lvlText w:val=""/>
      <w:lvlJc w:val="left"/>
      <w:pPr>
        <w:ind w:left="5216" w:hanging="360"/>
      </w:pPr>
      <w:rPr>
        <w:rFonts w:ascii="Wingdings" w:hAnsi="Wingdings" w:hint="default"/>
      </w:rPr>
    </w:lvl>
  </w:abstractNum>
  <w:abstractNum w:abstractNumId="1">
    <w:nsid w:val="179269AA"/>
    <w:multiLevelType w:val="hybridMultilevel"/>
    <w:tmpl w:val="B1A45324"/>
    <w:lvl w:ilvl="0" w:tplc="0EDC504E">
      <w:start w:val="1"/>
      <w:numFmt w:val="upperRoman"/>
      <w:lvlText w:val="%1."/>
      <w:lvlJc w:val="righ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3C3227D"/>
    <w:multiLevelType w:val="hybridMultilevel"/>
    <w:tmpl w:val="1B10B372"/>
    <w:lvl w:ilvl="0" w:tplc="9C98FA50">
      <w:start w:val="1"/>
      <w:numFmt w:val="bullet"/>
      <w:lvlText w:val=""/>
      <w:lvlJc w:val="left"/>
      <w:pPr>
        <w:ind w:left="720" w:hanging="360"/>
      </w:pPr>
      <w:rPr>
        <w:rFonts w:ascii="Symbol" w:hAnsi="Symbol" w:hint="default"/>
        <w:b w:val="0"/>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2B2594F"/>
    <w:multiLevelType w:val="hybridMultilevel"/>
    <w:tmpl w:val="FE70BC90"/>
    <w:lvl w:ilvl="0" w:tplc="28FA6034">
      <w:start w:val="1"/>
      <w:numFmt w:val="bullet"/>
      <w:suff w:val="nothing"/>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9745F3"/>
    <w:multiLevelType w:val="hybridMultilevel"/>
    <w:tmpl w:val="6060D59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740417BB"/>
    <w:multiLevelType w:val="hybridMultilevel"/>
    <w:tmpl w:val="4E58E8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FD61958"/>
    <w:multiLevelType w:val="hybridMultilevel"/>
    <w:tmpl w:val="D1D0BBDE"/>
    <w:lvl w:ilvl="0" w:tplc="CDDE442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50"/>
    <w:rsid w:val="000119C4"/>
    <w:rsid w:val="000566EB"/>
    <w:rsid w:val="0006756A"/>
    <w:rsid w:val="000834E5"/>
    <w:rsid w:val="00095CAC"/>
    <w:rsid w:val="000A3959"/>
    <w:rsid w:val="000E0087"/>
    <w:rsid w:val="000E1E2C"/>
    <w:rsid w:val="000E2E87"/>
    <w:rsid w:val="000E37B5"/>
    <w:rsid w:val="000F3E71"/>
    <w:rsid w:val="00101627"/>
    <w:rsid w:val="00113FC8"/>
    <w:rsid w:val="00121A09"/>
    <w:rsid w:val="00130484"/>
    <w:rsid w:val="00140637"/>
    <w:rsid w:val="00156DEB"/>
    <w:rsid w:val="00160C9A"/>
    <w:rsid w:val="001974BA"/>
    <w:rsid w:val="001C1DAF"/>
    <w:rsid w:val="001E5BA6"/>
    <w:rsid w:val="001E767A"/>
    <w:rsid w:val="001F24E6"/>
    <w:rsid w:val="001F2F41"/>
    <w:rsid w:val="00221072"/>
    <w:rsid w:val="00226222"/>
    <w:rsid w:val="00231965"/>
    <w:rsid w:val="00231BD6"/>
    <w:rsid w:val="00236251"/>
    <w:rsid w:val="00241A73"/>
    <w:rsid w:val="0025075C"/>
    <w:rsid w:val="00253E5F"/>
    <w:rsid w:val="002862AC"/>
    <w:rsid w:val="00290619"/>
    <w:rsid w:val="002B4A6F"/>
    <w:rsid w:val="002B5A13"/>
    <w:rsid w:val="002C1D9D"/>
    <w:rsid w:val="002C773C"/>
    <w:rsid w:val="002D64CE"/>
    <w:rsid w:val="002E4951"/>
    <w:rsid w:val="003218D3"/>
    <w:rsid w:val="00335371"/>
    <w:rsid w:val="00341F7A"/>
    <w:rsid w:val="00345BE2"/>
    <w:rsid w:val="003844FE"/>
    <w:rsid w:val="003910A0"/>
    <w:rsid w:val="003A15D5"/>
    <w:rsid w:val="003B0CEA"/>
    <w:rsid w:val="003B3B34"/>
    <w:rsid w:val="003C708E"/>
    <w:rsid w:val="003F4120"/>
    <w:rsid w:val="003F5744"/>
    <w:rsid w:val="00425C61"/>
    <w:rsid w:val="00444B55"/>
    <w:rsid w:val="00461A31"/>
    <w:rsid w:val="00461B01"/>
    <w:rsid w:val="00490A44"/>
    <w:rsid w:val="004B038A"/>
    <w:rsid w:val="004C18F0"/>
    <w:rsid w:val="004D0448"/>
    <w:rsid w:val="004E445F"/>
    <w:rsid w:val="00517011"/>
    <w:rsid w:val="005314F1"/>
    <w:rsid w:val="005341CE"/>
    <w:rsid w:val="00540898"/>
    <w:rsid w:val="00542A9C"/>
    <w:rsid w:val="0054551E"/>
    <w:rsid w:val="00565399"/>
    <w:rsid w:val="00571D98"/>
    <w:rsid w:val="005823C6"/>
    <w:rsid w:val="005903D7"/>
    <w:rsid w:val="005919FE"/>
    <w:rsid w:val="00592D05"/>
    <w:rsid w:val="005B5436"/>
    <w:rsid w:val="005C55BA"/>
    <w:rsid w:val="005D4104"/>
    <w:rsid w:val="005E5B32"/>
    <w:rsid w:val="005F5BCE"/>
    <w:rsid w:val="006317B9"/>
    <w:rsid w:val="00635DD8"/>
    <w:rsid w:val="006459A6"/>
    <w:rsid w:val="00682411"/>
    <w:rsid w:val="00693078"/>
    <w:rsid w:val="006D427B"/>
    <w:rsid w:val="006E5B36"/>
    <w:rsid w:val="006F320E"/>
    <w:rsid w:val="0070595D"/>
    <w:rsid w:val="00732792"/>
    <w:rsid w:val="00744D4E"/>
    <w:rsid w:val="00762C3E"/>
    <w:rsid w:val="00777AA4"/>
    <w:rsid w:val="00784E27"/>
    <w:rsid w:val="00791891"/>
    <w:rsid w:val="007A0B84"/>
    <w:rsid w:val="007D4724"/>
    <w:rsid w:val="007D524E"/>
    <w:rsid w:val="007D74E1"/>
    <w:rsid w:val="007E0C50"/>
    <w:rsid w:val="007F7335"/>
    <w:rsid w:val="00801E17"/>
    <w:rsid w:val="00803EA6"/>
    <w:rsid w:val="00812251"/>
    <w:rsid w:val="0081286A"/>
    <w:rsid w:val="00812AB4"/>
    <w:rsid w:val="00837CE3"/>
    <w:rsid w:val="00843A2D"/>
    <w:rsid w:val="00884E46"/>
    <w:rsid w:val="0088521D"/>
    <w:rsid w:val="008856A5"/>
    <w:rsid w:val="008B126C"/>
    <w:rsid w:val="008B4830"/>
    <w:rsid w:val="008C1518"/>
    <w:rsid w:val="008E3C25"/>
    <w:rsid w:val="008E7061"/>
    <w:rsid w:val="008F3D1D"/>
    <w:rsid w:val="008F7C23"/>
    <w:rsid w:val="00924012"/>
    <w:rsid w:val="0092786F"/>
    <w:rsid w:val="00935A9E"/>
    <w:rsid w:val="0095186E"/>
    <w:rsid w:val="00962B29"/>
    <w:rsid w:val="009638CF"/>
    <w:rsid w:val="00965114"/>
    <w:rsid w:val="00971EA6"/>
    <w:rsid w:val="00983A31"/>
    <w:rsid w:val="009848FF"/>
    <w:rsid w:val="00997D00"/>
    <w:rsid w:val="009B6027"/>
    <w:rsid w:val="009D1BC4"/>
    <w:rsid w:val="009E77A5"/>
    <w:rsid w:val="009F5311"/>
    <w:rsid w:val="00A04DA6"/>
    <w:rsid w:val="00A0629C"/>
    <w:rsid w:val="00A13BA6"/>
    <w:rsid w:val="00A37B14"/>
    <w:rsid w:val="00A4000A"/>
    <w:rsid w:val="00A47971"/>
    <w:rsid w:val="00A525EE"/>
    <w:rsid w:val="00A61758"/>
    <w:rsid w:val="00A678F6"/>
    <w:rsid w:val="00A71363"/>
    <w:rsid w:val="00A77B7C"/>
    <w:rsid w:val="00AB7989"/>
    <w:rsid w:val="00AF1104"/>
    <w:rsid w:val="00AF2F51"/>
    <w:rsid w:val="00AF69C4"/>
    <w:rsid w:val="00B033CD"/>
    <w:rsid w:val="00B42414"/>
    <w:rsid w:val="00B50CB9"/>
    <w:rsid w:val="00B62E10"/>
    <w:rsid w:val="00B7097D"/>
    <w:rsid w:val="00B70CF1"/>
    <w:rsid w:val="00BA5556"/>
    <w:rsid w:val="00BB6DCA"/>
    <w:rsid w:val="00BC2B49"/>
    <w:rsid w:val="00BD5122"/>
    <w:rsid w:val="00BE69DD"/>
    <w:rsid w:val="00C023D8"/>
    <w:rsid w:val="00C06DB2"/>
    <w:rsid w:val="00C40C5B"/>
    <w:rsid w:val="00C65F7F"/>
    <w:rsid w:val="00C914DD"/>
    <w:rsid w:val="00C93961"/>
    <w:rsid w:val="00CA0178"/>
    <w:rsid w:val="00CA0E7E"/>
    <w:rsid w:val="00CB53DC"/>
    <w:rsid w:val="00CC5050"/>
    <w:rsid w:val="00CD7065"/>
    <w:rsid w:val="00CE596A"/>
    <w:rsid w:val="00CF39F1"/>
    <w:rsid w:val="00CF771B"/>
    <w:rsid w:val="00D24789"/>
    <w:rsid w:val="00D24BE3"/>
    <w:rsid w:val="00D33629"/>
    <w:rsid w:val="00D60092"/>
    <w:rsid w:val="00D8150F"/>
    <w:rsid w:val="00D872AA"/>
    <w:rsid w:val="00DA3FDE"/>
    <w:rsid w:val="00DC517C"/>
    <w:rsid w:val="00DE0366"/>
    <w:rsid w:val="00DF096F"/>
    <w:rsid w:val="00DF2524"/>
    <w:rsid w:val="00E1797B"/>
    <w:rsid w:val="00E45A1F"/>
    <w:rsid w:val="00E47B18"/>
    <w:rsid w:val="00E52AB1"/>
    <w:rsid w:val="00E546CB"/>
    <w:rsid w:val="00E733C0"/>
    <w:rsid w:val="00E7673E"/>
    <w:rsid w:val="00E95A5E"/>
    <w:rsid w:val="00EB16A3"/>
    <w:rsid w:val="00EB5121"/>
    <w:rsid w:val="00EC75F5"/>
    <w:rsid w:val="00EE0358"/>
    <w:rsid w:val="00F069BE"/>
    <w:rsid w:val="00F23697"/>
    <w:rsid w:val="00F264D2"/>
    <w:rsid w:val="00F34D2E"/>
    <w:rsid w:val="00F40954"/>
    <w:rsid w:val="00F43B0A"/>
    <w:rsid w:val="00F440A8"/>
    <w:rsid w:val="00F812C0"/>
    <w:rsid w:val="00F95DA9"/>
    <w:rsid w:val="00FA2F70"/>
    <w:rsid w:val="00FB48AC"/>
    <w:rsid w:val="00FE18ED"/>
    <w:rsid w:val="00FE4328"/>
    <w:rsid w:val="00FE53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4E5"/>
    <w:pPr>
      <w:spacing w:after="160" w:line="259" w:lineRule="auto"/>
    </w:pPr>
    <w:rPr>
      <w:sz w:val="22"/>
      <w:szCs w:val="22"/>
      <w:lang w:eastAsia="en-US"/>
    </w:rPr>
  </w:style>
  <w:style w:type="paragraph" w:styleId="Ttulo1">
    <w:name w:val="heading 1"/>
    <w:basedOn w:val="Normal"/>
    <w:next w:val="Normal"/>
    <w:link w:val="Ttulo1Char"/>
    <w:uiPriority w:val="9"/>
    <w:qFormat/>
    <w:rsid w:val="00CF771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CF771B"/>
    <w:pPr>
      <w:keepNext/>
      <w:keepLines/>
      <w:spacing w:before="200" w:after="0" w:line="480" w:lineRule="auto"/>
      <w:jc w:val="both"/>
      <w:outlineLvl w:val="1"/>
    </w:pPr>
    <w:rPr>
      <w:rFonts w:asciiTheme="majorHAnsi" w:eastAsiaTheme="majorEastAsia" w:hAnsiTheme="majorHAnsi" w:cstheme="majorBidi"/>
      <w:b/>
      <w:bCs/>
      <w:color w:val="5B9BD5"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1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1D98"/>
  </w:style>
  <w:style w:type="paragraph" w:styleId="Rodap">
    <w:name w:val="footer"/>
    <w:basedOn w:val="Normal"/>
    <w:link w:val="RodapChar"/>
    <w:uiPriority w:val="99"/>
    <w:unhideWhenUsed/>
    <w:rsid w:val="00571D98"/>
    <w:pPr>
      <w:tabs>
        <w:tab w:val="center" w:pos="4252"/>
        <w:tab w:val="right" w:pos="8504"/>
      </w:tabs>
      <w:spacing w:after="0" w:line="240" w:lineRule="auto"/>
    </w:pPr>
  </w:style>
  <w:style w:type="character" w:customStyle="1" w:styleId="RodapChar">
    <w:name w:val="Rodapé Char"/>
    <w:basedOn w:val="Fontepargpadro"/>
    <w:link w:val="Rodap"/>
    <w:uiPriority w:val="99"/>
    <w:rsid w:val="00571D98"/>
  </w:style>
  <w:style w:type="paragraph" w:styleId="Textodebalo">
    <w:name w:val="Balloon Text"/>
    <w:basedOn w:val="Normal"/>
    <w:link w:val="TextodebaloChar"/>
    <w:uiPriority w:val="99"/>
    <w:semiHidden/>
    <w:unhideWhenUsed/>
    <w:rsid w:val="00CF39F1"/>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CF39F1"/>
    <w:rPr>
      <w:rFonts w:ascii="Segoe UI" w:hAnsi="Segoe UI" w:cs="Segoe UI"/>
      <w:sz w:val="18"/>
      <w:szCs w:val="18"/>
      <w:lang w:eastAsia="en-US"/>
    </w:rPr>
  </w:style>
  <w:style w:type="character" w:customStyle="1" w:styleId="Ttulo1Char">
    <w:name w:val="Título 1 Char"/>
    <w:basedOn w:val="Fontepargpadro"/>
    <w:link w:val="Ttulo1"/>
    <w:uiPriority w:val="9"/>
    <w:rsid w:val="00CF771B"/>
    <w:rPr>
      <w:rFonts w:asciiTheme="majorHAnsi" w:eastAsiaTheme="majorEastAsia" w:hAnsiTheme="majorHAnsi" w:cstheme="majorBidi"/>
      <w:b/>
      <w:bCs/>
      <w:color w:val="2E74B5" w:themeColor="accent1" w:themeShade="BF"/>
      <w:sz w:val="28"/>
      <w:szCs w:val="28"/>
      <w:lang w:eastAsia="en-US"/>
    </w:rPr>
  </w:style>
  <w:style w:type="character" w:customStyle="1" w:styleId="Ttulo2Char">
    <w:name w:val="Título 2 Char"/>
    <w:basedOn w:val="Fontepargpadro"/>
    <w:link w:val="Ttulo2"/>
    <w:uiPriority w:val="9"/>
    <w:rsid w:val="00CF771B"/>
    <w:rPr>
      <w:rFonts w:asciiTheme="majorHAnsi" w:eastAsiaTheme="majorEastAsia" w:hAnsiTheme="majorHAnsi" w:cstheme="majorBidi"/>
      <w:b/>
      <w:bCs/>
      <w:color w:val="5B9BD5" w:themeColor="accent1"/>
      <w:sz w:val="26"/>
      <w:szCs w:val="26"/>
      <w:lang w:eastAsia="en-US"/>
    </w:rPr>
  </w:style>
  <w:style w:type="paragraph" w:styleId="CabealhodoSumrio">
    <w:name w:val="TOC Heading"/>
    <w:basedOn w:val="Ttulo1"/>
    <w:next w:val="Normal"/>
    <w:uiPriority w:val="39"/>
    <w:semiHidden/>
    <w:unhideWhenUsed/>
    <w:qFormat/>
    <w:rsid w:val="00CF771B"/>
    <w:pPr>
      <w:outlineLvl w:val="9"/>
    </w:pPr>
  </w:style>
  <w:style w:type="paragraph" w:styleId="Sumrio1">
    <w:name w:val="toc 1"/>
    <w:basedOn w:val="Normal"/>
    <w:next w:val="Normal"/>
    <w:autoRedefine/>
    <w:uiPriority w:val="39"/>
    <w:unhideWhenUsed/>
    <w:rsid w:val="00CF771B"/>
    <w:pPr>
      <w:spacing w:after="100" w:line="276" w:lineRule="auto"/>
    </w:pPr>
    <w:rPr>
      <w:rFonts w:asciiTheme="minorHAnsi" w:eastAsiaTheme="minorHAnsi" w:hAnsiTheme="minorHAnsi" w:cstheme="minorBidi"/>
    </w:rPr>
  </w:style>
  <w:style w:type="character" w:styleId="Hyperlink">
    <w:name w:val="Hyperlink"/>
    <w:basedOn w:val="Fontepargpadro"/>
    <w:uiPriority w:val="99"/>
    <w:unhideWhenUsed/>
    <w:rsid w:val="00CF771B"/>
    <w:rPr>
      <w:color w:val="0563C1" w:themeColor="hyperlink"/>
      <w:u w:val="single"/>
    </w:rPr>
  </w:style>
  <w:style w:type="paragraph" w:styleId="Textodenotaderodap">
    <w:name w:val="footnote text"/>
    <w:basedOn w:val="Normal"/>
    <w:link w:val="TextodenotaderodapChar"/>
    <w:uiPriority w:val="99"/>
    <w:semiHidden/>
    <w:unhideWhenUsed/>
    <w:rsid w:val="00CF771B"/>
    <w:pPr>
      <w:spacing w:after="0" w:line="480" w:lineRule="auto"/>
      <w:jc w:val="both"/>
    </w:pPr>
    <w:rPr>
      <w:sz w:val="20"/>
      <w:szCs w:val="20"/>
    </w:rPr>
  </w:style>
  <w:style w:type="character" w:customStyle="1" w:styleId="TextodenotaderodapChar">
    <w:name w:val="Texto de nota de rodapé Char"/>
    <w:basedOn w:val="Fontepargpadro"/>
    <w:link w:val="Textodenotaderodap"/>
    <w:uiPriority w:val="99"/>
    <w:semiHidden/>
    <w:rsid w:val="00CF771B"/>
    <w:rPr>
      <w:lang w:eastAsia="en-US"/>
    </w:rPr>
  </w:style>
  <w:style w:type="character" w:styleId="Refdenotaderodap">
    <w:name w:val="footnote reference"/>
    <w:uiPriority w:val="99"/>
    <w:semiHidden/>
    <w:unhideWhenUsed/>
    <w:rsid w:val="00CF771B"/>
    <w:rPr>
      <w:vertAlign w:val="superscript"/>
    </w:rPr>
  </w:style>
  <w:style w:type="paragraph" w:styleId="NormalWeb">
    <w:name w:val="Normal (Web)"/>
    <w:basedOn w:val="Normal"/>
    <w:uiPriority w:val="99"/>
    <w:unhideWhenUsed/>
    <w:rsid w:val="00CF771B"/>
    <w:pPr>
      <w:spacing w:before="100" w:beforeAutospacing="1" w:after="100" w:afterAutospacing="1" w:line="240" w:lineRule="auto"/>
    </w:pPr>
    <w:rPr>
      <w:rFonts w:ascii="Times New Roman" w:eastAsia="Times New Roman" w:hAnsi="Times New Roman"/>
      <w:sz w:val="24"/>
      <w:szCs w:val="24"/>
      <w:lang w:eastAsia="pt-BR"/>
    </w:rPr>
  </w:style>
  <w:style w:type="paragraph" w:styleId="Sumrio2">
    <w:name w:val="toc 2"/>
    <w:basedOn w:val="Normal"/>
    <w:next w:val="Normal"/>
    <w:autoRedefine/>
    <w:uiPriority w:val="39"/>
    <w:unhideWhenUsed/>
    <w:rsid w:val="00CF771B"/>
    <w:pPr>
      <w:spacing w:after="100" w:line="276" w:lineRule="auto"/>
      <w:ind w:left="220"/>
    </w:pPr>
    <w:rPr>
      <w:rFonts w:asciiTheme="minorHAnsi" w:eastAsiaTheme="minorHAnsi" w:hAnsiTheme="minorHAnsi" w:cstheme="minorBidi"/>
    </w:rPr>
  </w:style>
  <w:style w:type="paragraph" w:styleId="PargrafodaLista">
    <w:name w:val="List Paragraph"/>
    <w:basedOn w:val="Normal"/>
    <w:uiPriority w:val="34"/>
    <w:qFormat/>
    <w:rsid w:val="00CF771B"/>
    <w:pPr>
      <w:spacing w:after="0" w:line="480" w:lineRule="auto"/>
      <w:ind w:left="72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4E5"/>
    <w:pPr>
      <w:spacing w:after="160" w:line="259" w:lineRule="auto"/>
    </w:pPr>
    <w:rPr>
      <w:sz w:val="22"/>
      <w:szCs w:val="22"/>
      <w:lang w:eastAsia="en-US"/>
    </w:rPr>
  </w:style>
  <w:style w:type="paragraph" w:styleId="Ttulo1">
    <w:name w:val="heading 1"/>
    <w:basedOn w:val="Normal"/>
    <w:next w:val="Normal"/>
    <w:link w:val="Ttulo1Char"/>
    <w:uiPriority w:val="9"/>
    <w:qFormat/>
    <w:rsid w:val="00CF771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CF771B"/>
    <w:pPr>
      <w:keepNext/>
      <w:keepLines/>
      <w:spacing w:before="200" w:after="0" w:line="480" w:lineRule="auto"/>
      <w:jc w:val="both"/>
      <w:outlineLvl w:val="1"/>
    </w:pPr>
    <w:rPr>
      <w:rFonts w:asciiTheme="majorHAnsi" w:eastAsiaTheme="majorEastAsia" w:hAnsiTheme="majorHAnsi" w:cstheme="majorBidi"/>
      <w:b/>
      <w:bCs/>
      <w:color w:val="5B9BD5"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1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1D98"/>
  </w:style>
  <w:style w:type="paragraph" w:styleId="Rodap">
    <w:name w:val="footer"/>
    <w:basedOn w:val="Normal"/>
    <w:link w:val="RodapChar"/>
    <w:uiPriority w:val="99"/>
    <w:unhideWhenUsed/>
    <w:rsid w:val="00571D98"/>
    <w:pPr>
      <w:tabs>
        <w:tab w:val="center" w:pos="4252"/>
        <w:tab w:val="right" w:pos="8504"/>
      </w:tabs>
      <w:spacing w:after="0" w:line="240" w:lineRule="auto"/>
    </w:pPr>
  </w:style>
  <w:style w:type="character" w:customStyle="1" w:styleId="RodapChar">
    <w:name w:val="Rodapé Char"/>
    <w:basedOn w:val="Fontepargpadro"/>
    <w:link w:val="Rodap"/>
    <w:uiPriority w:val="99"/>
    <w:rsid w:val="00571D98"/>
  </w:style>
  <w:style w:type="paragraph" w:styleId="Textodebalo">
    <w:name w:val="Balloon Text"/>
    <w:basedOn w:val="Normal"/>
    <w:link w:val="TextodebaloChar"/>
    <w:uiPriority w:val="99"/>
    <w:semiHidden/>
    <w:unhideWhenUsed/>
    <w:rsid w:val="00CF39F1"/>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CF39F1"/>
    <w:rPr>
      <w:rFonts w:ascii="Segoe UI" w:hAnsi="Segoe UI" w:cs="Segoe UI"/>
      <w:sz w:val="18"/>
      <w:szCs w:val="18"/>
      <w:lang w:eastAsia="en-US"/>
    </w:rPr>
  </w:style>
  <w:style w:type="character" w:customStyle="1" w:styleId="Ttulo1Char">
    <w:name w:val="Título 1 Char"/>
    <w:basedOn w:val="Fontepargpadro"/>
    <w:link w:val="Ttulo1"/>
    <w:uiPriority w:val="9"/>
    <w:rsid w:val="00CF771B"/>
    <w:rPr>
      <w:rFonts w:asciiTheme="majorHAnsi" w:eastAsiaTheme="majorEastAsia" w:hAnsiTheme="majorHAnsi" w:cstheme="majorBidi"/>
      <w:b/>
      <w:bCs/>
      <w:color w:val="2E74B5" w:themeColor="accent1" w:themeShade="BF"/>
      <w:sz w:val="28"/>
      <w:szCs w:val="28"/>
      <w:lang w:eastAsia="en-US"/>
    </w:rPr>
  </w:style>
  <w:style w:type="character" w:customStyle="1" w:styleId="Ttulo2Char">
    <w:name w:val="Título 2 Char"/>
    <w:basedOn w:val="Fontepargpadro"/>
    <w:link w:val="Ttulo2"/>
    <w:uiPriority w:val="9"/>
    <w:rsid w:val="00CF771B"/>
    <w:rPr>
      <w:rFonts w:asciiTheme="majorHAnsi" w:eastAsiaTheme="majorEastAsia" w:hAnsiTheme="majorHAnsi" w:cstheme="majorBidi"/>
      <w:b/>
      <w:bCs/>
      <w:color w:val="5B9BD5" w:themeColor="accent1"/>
      <w:sz w:val="26"/>
      <w:szCs w:val="26"/>
      <w:lang w:eastAsia="en-US"/>
    </w:rPr>
  </w:style>
  <w:style w:type="paragraph" w:styleId="CabealhodoSumrio">
    <w:name w:val="TOC Heading"/>
    <w:basedOn w:val="Ttulo1"/>
    <w:next w:val="Normal"/>
    <w:uiPriority w:val="39"/>
    <w:semiHidden/>
    <w:unhideWhenUsed/>
    <w:qFormat/>
    <w:rsid w:val="00CF771B"/>
    <w:pPr>
      <w:outlineLvl w:val="9"/>
    </w:pPr>
  </w:style>
  <w:style w:type="paragraph" w:styleId="Sumrio1">
    <w:name w:val="toc 1"/>
    <w:basedOn w:val="Normal"/>
    <w:next w:val="Normal"/>
    <w:autoRedefine/>
    <w:uiPriority w:val="39"/>
    <w:unhideWhenUsed/>
    <w:rsid w:val="00CF771B"/>
    <w:pPr>
      <w:spacing w:after="100" w:line="276" w:lineRule="auto"/>
    </w:pPr>
    <w:rPr>
      <w:rFonts w:asciiTheme="minorHAnsi" w:eastAsiaTheme="minorHAnsi" w:hAnsiTheme="minorHAnsi" w:cstheme="minorBidi"/>
    </w:rPr>
  </w:style>
  <w:style w:type="character" w:styleId="Hyperlink">
    <w:name w:val="Hyperlink"/>
    <w:basedOn w:val="Fontepargpadro"/>
    <w:uiPriority w:val="99"/>
    <w:unhideWhenUsed/>
    <w:rsid w:val="00CF771B"/>
    <w:rPr>
      <w:color w:val="0563C1" w:themeColor="hyperlink"/>
      <w:u w:val="single"/>
    </w:rPr>
  </w:style>
  <w:style w:type="paragraph" w:styleId="Textodenotaderodap">
    <w:name w:val="footnote text"/>
    <w:basedOn w:val="Normal"/>
    <w:link w:val="TextodenotaderodapChar"/>
    <w:uiPriority w:val="99"/>
    <w:semiHidden/>
    <w:unhideWhenUsed/>
    <w:rsid w:val="00CF771B"/>
    <w:pPr>
      <w:spacing w:after="0" w:line="480" w:lineRule="auto"/>
      <w:jc w:val="both"/>
    </w:pPr>
    <w:rPr>
      <w:sz w:val="20"/>
      <w:szCs w:val="20"/>
    </w:rPr>
  </w:style>
  <w:style w:type="character" w:customStyle="1" w:styleId="TextodenotaderodapChar">
    <w:name w:val="Texto de nota de rodapé Char"/>
    <w:basedOn w:val="Fontepargpadro"/>
    <w:link w:val="Textodenotaderodap"/>
    <w:uiPriority w:val="99"/>
    <w:semiHidden/>
    <w:rsid w:val="00CF771B"/>
    <w:rPr>
      <w:lang w:eastAsia="en-US"/>
    </w:rPr>
  </w:style>
  <w:style w:type="character" w:styleId="Refdenotaderodap">
    <w:name w:val="footnote reference"/>
    <w:uiPriority w:val="99"/>
    <w:semiHidden/>
    <w:unhideWhenUsed/>
    <w:rsid w:val="00CF771B"/>
    <w:rPr>
      <w:vertAlign w:val="superscript"/>
    </w:rPr>
  </w:style>
  <w:style w:type="paragraph" w:styleId="NormalWeb">
    <w:name w:val="Normal (Web)"/>
    <w:basedOn w:val="Normal"/>
    <w:uiPriority w:val="99"/>
    <w:unhideWhenUsed/>
    <w:rsid w:val="00CF771B"/>
    <w:pPr>
      <w:spacing w:before="100" w:beforeAutospacing="1" w:after="100" w:afterAutospacing="1" w:line="240" w:lineRule="auto"/>
    </w:pPr>
    <w:rPr>
      <w:rFonts w:ascii="Times New Roman" w:eastAsia="Times New Roman" w:hAnsi="Times New Roman"/>
      <w:sz w:val="24"/>
      <w:szCs w:val="24"/>
      <w:lang w:eastAsia="pt-BR"/>
    </w:rPr>
  </w:style>
  <w:style w:type="paragraph" w:styleId="Sumrio2">
    <w:name w:val="toc 2"/>
    <w:basedOn w:val="Normal"/>
    <w:next w:val="Normal"/>
    <w:autoRedefine/>
    <w:uiPriority w:val="39"/>
    <w:unhideWhenUsed/>
    <w:rsid w:val="00CF771B"/>
    <w:pPr>
      <w:spacing w:after="100" w:line="276" w:lineRule="auto"/>
      <w:ind w:left="220"/>
    </w:pPr>
    <w:rPr>
      <w:rFonts w:asciiTheme="minorHAnsi" w:eastAsiaTheme="minorHAnsi" w:hAnsiTheme="minorHAnsi" w:cstheme="minorBidi"/>
    </w:rPr>
  </w:style>
  <w:style w:type="paragraph" w:styleId="PargrafodaLista">
    <w:name w:val="List Paragraph"/>
    <w:basedOn w:val="Normal"/>
    <w:uiPriority w:val="34"/>
    <w:qFormat/>
    <w:rsid w:val="00CF771B"/>
    <w:pPr>
      <w:spacing w:after="0" w:line="48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uber.penha\Downloads\PAPEL%20OF%20CUIAB&#193;%20PREV%20(1).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0.10.131\assessoria%20economica%20publico\ASSESSORIA%20ECON&#212;MICA\BENCHMARKS%20E%20&#205;NDICES\&#205;ndices\2020\2020%20-%20MACROECON&#212;MIC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0.10.131\assessoria%20economica%20publico\ASSESSORIA%20ECON&#212;MICA\BENCHMARKS%20E%20&#205;NDICES\&#205;ndices\2020\2020%20-%20MACROECON&#212;MIC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0.10.131\assessoria%20economica%20publico\ASSESSORIA%20ECON&#212;MICA\BENCHMARKS%20E%20&#205;NDICES\&#205;ndices\2020\2020%20-%20MACROECON&#212;MIC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1"/>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1.6680045913480872E-2"/>
          <c:y val="6.8684267010088007E-2"/>
          <c:w val="0.98168578509858984"/>
          <c:h val="0.76231954476764785"/>
        </c:manualLayout>
      </c:layout>
      <c:lineChart>
        <c:grouping val="standard"/>
        <c:varyColors val="0"/>
        <c:ser>
          <c:idx val="0"/>
          <c:order val="0"/>
          <c:spPr>
            <a:ln cmpd="sng">
              <a:solidFill>
                <a:schemeClr val="tx2">
                  <a:lumMod val="75000"/>
                </a:schemeClr>
              </a:solidFill>
            </a:ln>
          </c:spPr>
          <c:marker>
            <c:symbol val="none"/>
          </c:marker>
          <c:dPt>
            <c:idx val="14"/>
            <c:bubble3D val="0"/>
            <c:spPr>
              <a:ln cmpd="sng">
                <a:solidFill>
                  <a:schemeClr val="tx2">
                    <a:lumMod val="75000"/>
                  </a:schemeClr>
                </a:solidFill>
              </a:ln>
            </c:spPr>
          </c:dPt>
          <c:dPt>
            <c:idx val="15"/>
            <c:bubble3D val="0"/>
            <c:spPr>
              <a:ln cmpd="sng">
                <a:solidFill>
                  <a:schemeClr val="tx2">
                    <a:lumMod val="75000"/>
                  </a:schemeClr>
                </a:solidFill>
              </a:ln>
            </c:spPr>
          </c:dPt>
          <c:dPt>
            <c:idx val="16"/>
            <c:bubble3D val="0"/>
            <c:spPr>
              <a:ln cmpd="sng">
                <a:solidFill>
                  <a:schemeClr val="tx2">
                    <a:lumMod val="75000"/>
                  </a:schemeClr>
                </a:solidFill>
              </a:ln>
            </c:spPr>
          </c:dPt>
          <c:dPt>
            <c:idx val="17"/>
            <c:bubble3D val="0"/>
            <c:spPr>
              <a:ln cmpd="sng">
                <a:solidFill>
                  <a:schemeClr val="tx2">
                    <a:lumMod val="75000"/>
                  </a:schemeClr>
                </a:solidFill>
              </a:ln>
            </c:spPr>
          </c:dPt>
          <c:dPt>
            <c:idx val="18"/>
            <c:bubble3D val="0"/>
            <c:spPr>
              <a:ln cmpd="sng">
                <a:solidFill>
                  <a:schemeClr val="tx2">
                    <a:lumMod val="75000"/>
                  </a:schemeClr>
                </a:solidFill>
                <a:prstDash val="solid"/>
              </a:ln>
            </c:spPr>
          </c:dPt>
          <c:dPt>
            <c:idx val="19"/>
            <c:bubble3D val="0"/>
            <c:spPr>
              <a:ln cmpd="sng">
                <a:solidFill>
                  <a:schemeClr val="tx2">
                    <a:lumMod val="75000"/>
                  </a:schemeClr>
                </a:solidFill>
                <a:prstDash val="solid"/>
              </a:ln>
            </c:spPr>
          </c:dPt>
          <c:dPt>
            <c:idx val="20"/>
            <c:bubble3D val="0"/>
            <c:spPr>
              <a:ln cmpd="sng">
                <a:solidFill>
                  <a:schemeClr val="tx2">
                    <a:lumMod val="75000"/>
                  </a:schemeClr>
                </a:solidFill>
                <a:prstDash val="solid"/>
              </a:ln>
            </c:spPr>
          </c:dPt>
          <c:dPt>
            <c:idx val="21"/>
            <c:bubble3D val="0"/>
            <c:spPr>
              <a:ln cmpd="sng">
                <a:solidFill>
                  <a:schemeClr val="tx2">
                    <a:lumMod val="75000"/>
                  </a:schemeClr>
                </a:solidFill>
                <a:prstDash val="solid"/>
              </a:ln>
            </c:spPr>
          </c:dPt>
          <c:dPt>
            <c:idx val="22"/>
            <c:bubble3D val="0"/>
            <c:spPr>
              <a:ln cmpd="sng">
                <a:solidFill>
                  <a:schemeClr val="tx2">
                    <a:lumMod val="75000"/>
                  </a:schemeClr>
                </a:solidFill>
                <a:prstDash val="solid"/>
              </a:ln>
            </c:spPr>
          </c:dPt>
          <c:dPt>
            <c:idx val="23"/>
            <c:bubble3D val="0"/>
            <c:spPr>
              <a:ln cmpd="sng">
                <a:solidFill>
                  <a:schemeClr val="tx2">
                    <a:lumMod val="75000"/>
                  </a:schemeClr>
                </a:solidFill>
              </a:ln>
            </c:spPr>
          </c:dPt>
          <c:dPt>
            <c:idx val="24"/>
            <c:bubble3D val="0"/>
            <c:spPr>
              <a:ln cmpd="sng">
                <a:solidFill>
                  <a:schemeClr val="tx2">
                    <a:lumMod val="75000"/>
                  </a:schemeClr>
                </a:solidFill>
                <a:prstDash val="solid"/>
              </a:ln>
            </c:spPr>
          </c:dPt>
          <c:dPt>
            <c:idx val="25"/>
            <c:bubble3D val="0"/>
            <c:spPr>
              <a:ln cmpd="sng">
                <a:solidFill>
                  <a:schemeClr val="tx2">
                    <a:lumMod val="75000"/>
                  </a:schemeClr>
                </a:solidFill>
                <a:prstDash val="solid"/>
              </a:ln>
            </c:spPr>
          </c:dPt>
          <c:dPt>
            <c:idx val="31"/>
            <c:bubble3D val="0"/>
            <c:spPr>
              <a:ln cmpd="sng">
                <a:solidFill>
                  <a:schemeClr val="tx2">
                    <a:lumMod val="75000"/>
                  </a:schemeClr>
                </a:solidFill>
              </a:ln>
            </c:spPr>
          </c:dPt>
          <c:dPt>
            <c:idx val="32"/>
            <c:bubble3D val="0"/>
            <c:spPr>
              <a:ln cmpd="sng">
                <a:solidFill>
                  <a:schemeClr val="tx2">
                    <a:lumMod val="75000"/>
                  </a:schemeClr>
                </a:solidFill>
              </a:ln>
            </c:spPr>
          </c:dPt>
          <c:dPt>
            <c:idx val="34"/>
            <c:bubble3D val="0"/>
            <c:spPr>
              <a:ln cmpd="sng">
                <a:solidFill>
                  <a:srgbClr val="C00000"/>
                </a:solidFill>
                <a:prstDash val="solid"/>
              </a:ln>
            </c:spPr>
          </c:dPt>
          <c:dPt>
            <c:idx val="35"/>
            <c:bubble3D val="0"/>
            <c:spPr>
              <a:ln cmpd="sng">
                <a:solidFill>
                  <a:srgbClr val="C00000"/>
                </a:solidFill>
              </a:ln>
            </c:spPr>
          </c:dPt>
          <c:dPt>
            <c:idx val="36"/>
            <c:bubble3D val="0"/>
            <c:spPr>
              <a:ln cmpd="sng">
                <a:solidFill>
                  <a:srgbClr val="C00000"/>
                </a:solidFill>
              </a:ln>
            </c:spPr>
          </c:dPt>
          <c:dPt>
            <c:idx val="37"/>
            <c:bubble3D val="0"/>
            <c:spPr>
              <a:ln cmpd="sng">
                <a:solidFill>
                  <a:srgbClr val="C00000"/>
                </a:solidFill>
              </a:ln>
            </c:spPr>
          </c:dPt>
          <c:dLbls>
            <c:dLbl>
              <c:idx val="0"/>
              <c:layout>
                <c:manualLayout>
                  <c:x val="-5.5762946066282106E-2"/>
                  <c:y val="4.04242858072492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4.6977781459646532E-2"/>
                  <c:y val="-3.76334494760117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3.2477252374287197E-2"/>
                  <c:y val="-5.595405135346451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layout>
                <c:manualLayout>
                  <c:x val="-2.7547072485265091E-2"/>
                  <c:y val="-5.595405135346451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layout>
                <c:manualLayout>
                  <c:x val="-3.7214091875504521E-2"/>
                  <c:y val="-4.984718406098025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3"/>
              <c:layout>
                <c:manualLayout>
                  <c:x val="-3.2843761810224359E-2"/>
                  <c:y val="-4.591594834840495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6"/>
              <c:delete val="1"/>
              <c:extLst>
                <c:ext xmlns:c15="http://schemas.microsoft.com/office/drawing/2012/chart" uri="{CE6537A1-D6FC-4f65-9D91-7224C49458BB}"/>
              </c:extLst>
            </c:dLbl>
            <c:dLbl>
              <c:idx val="17"/>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19"/>
              <c:delete val="1"/>
              <c:extLst>
                <c:ext xmlns:c15="http://schemas.microsoft.com/office/drawing/2012/chart" uri="{CE6537A1-D6FC-4f65-9D91-7224C49458BB}"/>
              </c:extLst>
            </c:dLbl>
            <c:dLbl>
              <c:idx val="20"/>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2"/>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5"/>
              <c:layout>
                <c:manualLayout>
                  <c:x val="-0.10856874703376659"/>
                  <c:y val="-1.1444365477254101E-4"/>
                </c:manualLayout>
              </c:layout>
              <c:dLblPos val="r"/>
              <c:showLegendKey val="0"/>
              <c:showVal val="1"/>
              <c:showCatName val="0"/>
              <c:showSerName val="0"/>
              <c:showPercent val="0"/>
              <c:showBubbleSize val="0"/>
              <c:extLst>
                <c:ext xmlns:c15="http://schemas.microsoft.com/office/drawing/2012/chart" uri="{CE6537A1-D6FC-4f65-9D91-7224C49458BB}"/>
              </c:extLst>
            </c:dLbl>
            <c:dLbl>
              <c:idx val="26"/>
              <c:delete val="1"/>
              <c:extLst>
                <c:ext xmlns:c15="http://schemas.microsoft.com/office/drawing/2012/chart" uri="{CE6537A1-D6FC-4f65-9D91-7224C49458BB}"/>
              </c:extLst>
            </c:dLbl>
            <c:dLbl>
              <c:idx val="27"/>
              <c:layout>
                <c:manualLayout>
                  <c:x val="-6.634861073386758E-2"/>
                  <c:y val="5.702299355749546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8"/>
              <c:delete val="1"/>
              <c:extLst>
                <c:ext xmlns:c15="http://schemas.microsoft.com/office/drawing/2012/chart" uri="{CE6537A1-D6FC-4f65-9D91-7224C49458BB}"/>
              </c:extLst>
            </c:dLbl>
            <c:dLbl>
              <c:idx val="29"/>
              <c:delete val="1"/>
              <c:extLst>
                <c:ext xmlns:c15="http://schemas.microsoft.com/office/drawing/2012/chart" uri="{CE6537A1-D6FC-4f65-9D91-7224C49458BB}"/>
              </c:extLst>
            </c:dLbl>
            <c:dLbl>
              <c:idx val="30"/>
              <c:layout>
                <c:manualLayout>
                  <c:x val="-3.2380582180384802E-2"/>
                  <c:y val="-5.595405135346451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1"/>
              <c:layout>
                <c:manualLayout>
                  <c:x val="-7.6722303862435028E-4"/>
                  <c:y val="4.48091509222504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2"/>
              <c:delete val="1"/>
              <c:extLst>
                <c:ext xmlns:c15="http://schemas.microsoft.com/office/drawing/2012/chart" uri="{CE6537A1-D6FC-4f65-9D91-7224C49458BB}"/>
              </c:extLst>
            </c:dLbl>
            <c:dLbl>
              <c:idx val="33"/>
              <c:delete val="1"/>
              <c:extLst>
                <c:ext xmlns:c15="http://schemas.microsoft.com/office/drawing/2012/chart" uri="{CE6537A1-D6FC-4f65-9D91-7224C49458BB}"/>
              </c:extLst>
            </c:dLbl>
            <c:dLbl>
              <c:idx val="34"/>
              <c:delete val="1"/>
              <c:extLst>
                <c:ext xmlns:c15="http://schemas.microsoft.com/office/drawing/2012/chart" uri="{CE6537A1-D6FC-4f65-9D91-7224C49458BB}"/>
              </c:extLst>
            </c:dLbl>
            <c:dLbl>
              <c:idx val="35"/>
              <c:layout>
                <c:manualLayout>
                  <c:x val="-5.351753099828039E-2"/>
                  <c:y val="-5.2831049180077048E-2"/>
                </c:manualLayout>
              </c:layout>
              <c:spPr>
                <a:noFill/>
                <a:ln>
                  <a:noFill/>
                </a:ln>
                <a:effectLst/>
              </c:spPr>
              <c:txPr>
                <a:bodyPr/>
                <a:lstStyle/>
                <a:p>
                  <a:pPr>
                    <a:defRPr sz="1100" b="1">
                      <a:solidFill>
                        <a:srgbClr val="C00000"/>
                      </a:solidFill>
                      <a:latin typeface="Arial" pitchFamily="34" charset="0"/>
                      <a:cs typeface="Arial" pitchFamily="34" charset="0"/>
                    </a:defRPr>
                  </a:pPr>
                  <a:endParaRPr lang="pt-BR"/>
                </a:p>
              </c:txPr>
              <c:dLblPos val="r"/>
              <c:showLegendKey val="0"/>
              <c:showVal val="1"/>
              <c:showCatName val="0"/>
              <c:showSerName val="0"/>
              <c:showPercent val="0"/>
              <c:showBubbleSize val="0"/>
              <c:extLst>
                <c:ext xmlns:c15="http://schemas.microsoft.com/office/drawing/2012/chart" uri="{CE6537A1-D6FC-4f65-9D91-7224C49458BB}"/>
              </c:extLst>
            </c:dLbl>
            <c:dLbl>
              <c:idx val="36"/>
              <c:layout>
                <c:manualLayout>
                  <c:x val="-3.5328156394243956E-2"/>
                  <c:y val="-5.2831049180076979E-2"/>
                </c:manualLayout>
              </c:layout>
              <c:spPr>
                <a:noFill/>
                <a:ln>
                  <a:noFill/>
                </a:ln>
                <a:effectLst/>
              </c:spPr>
              <c:txPr>
                <a:bodyPr/>
                <a:lstStyle/>
                <a:p>
                  <a:pPr>
                    <a:defRPr sz="1100" b="1">
                      <a:solidFill>
                        <a:srgbClr val="C00000"/>
                      </a:solidFill>
                      <a:latin typeface="Arial" pitchFamily="34" charset="0"/>
                      <a:cs typeface="Arial" pitchFamily="34" charset="0"/>
                    </a:defRPr>
                  </a:pPr>
                  <a:endParaRPr lang="pt-BR"/>
                </a:p>
              </c:txPr>
              <c:dLblPos val="r"/>
              <c:showLegendKey val="0"/>
              <c:showVal val="1"/>
              <c:showCatName val="0"/>
              <c:showSerName val="0"/>
              <c:showPercent val="0"/>
              <c:showBubbleSize val="0"/>
              <c:extLst>
                <c:ext xmlns:c15="http://schemas.microsoft.com/office/drawing/2012/chart" uri="{CE6537A1-D6FC-4f65-9D91-7224C49458BB}"/>
              </c:extLst>
            </c:dLbl>
            <c:dLbl>
              <c:idx val="37"/>
              <c:layout>
                <c:manualLayout>
                  <c:x val="-7.3563218390804595E-3"/>
                  <c:y val="-5.5684978153241117E-2"/>
                </c:manualLayout>
              </c:layout>
              <c:spPr>
                <a:noFill/>
                <a:ln>
                  <a:noFill/>
                </a:ln>
                <a:effectLst/>
              </c:spPr>
              <c:txPr>
                <a:bodyPr/>
                <a:lstStyle/>
                <a:p>
                  <a:pPr>
                    <a:defRPr sz="1100" b="1">
                      <a:solidFill>
                        <a:srgbClr val="C00000"/>
                      </a:solidFill>
                      <a:latin typeface="Arial" pitchFamily="34" charset="0"/>
                      <a:cs typeface="Arial" pitchFamily="34" charset="0"/>
                    </a:defRPr>
                  </a:pPr>
                  <a:endParaRPr lang="pt-BR"/>
                </a:p>
              </c:txPr>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b="1">
                    <a:solidFill>
                      <a:schemeClr val="tx2"/>
                    </a:solidFill>
                    <a:latin typeface="Arial" pitchFamily="34" charset="0"/>
                    <a:cs typeface="Arial" pitchFamily="34"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'[2020 - MACROECONÔMICO.xlsx]SELIC'!$B$4:$B$41</c:f>
              <c:numCache>
                <c:formatCode>General</c:formatCode>
                <c:ptCount val="38"/>
                <c:pt idx="0">
                  <c:v>2013</c:v>
                </c:pt>
                <c:pt idx="1">
                  <c:v>2014</c:v>
                </c:pt>
                <c:pt idx="2">
                  <c:v>2015</c:v>
                </c:pt>
                <c:pt idx="3">
                  <c:v>2016</c:v>
                </c:pt>
                <c:pt idx="4" formatCode="mmm\-yy">
                  <c:v>42736</c:v>
                </c:pt>
                <c:pt idx="5" formatCode="mmm\-yy">
                  <c:v>42767</c:v>
                </c:pt>
                <c:pt idx="6" formatCode="mmm\-yy">
                  <c:v>42826</c:v>
                </c:pt>
                <c:pt idx="7" formatCode="mmm\-yy">
                  <c:v>42856</c:v>
                </c:pt>
                <c:pt idx="8" formatCode="mmm\-yy">
                  <c:v>42917</c:v>
                </c:pt>
                <c:pt idx="9" formatCode="mmm\-yy">
                  <c:v>42979</c:v>
                </c:pt>
                <c:pt idx="10" formatCode="mmm\-yy">
                  <c:v>43009</c:v>
                </c:pt>
                <c:pt idx="11" formatCode="mmm\-yy">
                  <c:v>43070</c:v>
                </c:pt>
                <c:pt idx="12" formatCode="mmm\-yy">
                  <c:v>43132</c:v>
                </c:pt>
                <c:pt idx="13" formatCode="mmm\-yy">
                  <c:v>43160</c:v>
                </c:pt>
                <c:pt idx="14" formatCode="mmm\-yy">
                  <c:v>43191</c:v>
                </c:pt>
                <c:pt idx="15" formatCode="mmm\-yy">
                  <c:v>43221</c:v>
                </c:pt>
                <c:pt idx="16" formatCode="mmm\-yy">
                  <c:v>43252</c:v>
                </c:pt>
                <c:pt idx="17" formatCode="mmm\-yy">
                  <c:v>43313</c:v>
                </c:pt>
                <c:pt idx="18" formatCode="mmm\-yy">
                  <c:v>43344</c:v>
                </c:pt>
                <c:pt idx="19" formatCode="mmm\-yy">
                  <c:v>43374</c:v>
                </c:pt>
                <c:pt idx="20" formatCode="mmm\-yy">
                  <c:v>43435</c:v>
                </c:pt>
                <c:pt idx="21" formatCode="mmm\-yy">
                  <c:v>43497</c:v>
                </c:pt>
                <c:pt idx="22" formatCode="mmm\-yy">
                  <c:v>43586</c:v>
                </c:pt>
                <c:pt idx="23" formatCode="mmm\-yy">
                  <c:v>43617</c:v>
                </c:pt>
                <c:pt idx="24" formatCode="mmm\-yy">
                  <c:v>43709</c:v>
                </c:pt>
                <c:pt idx="25" formatCode="mmm\-yy">
                  <c:v>43739</c:v>
                </c:pt>
                <c:pt idx="26" formatCode="mmm\-yy">
                  <c:v>43800</c:v>
                </c:pt>
                <c:pt idx="27" formatCode="mmm\-yy">
                  <c:v>43862</c:v>
                </c:pt>
                <c:pt idx="28" formatCode="mmm\-yy">
                  <c:v>43891</c:v>
                </c:pt>
                <c:pt idx="29" formatCode="mmm\-yy">
                  <c:v>43952</c:v>
                </c:pt>
                <c:pt idx="30" formatCode="mmm\-yy">
                  <c:v>43983</c:v>
                </c:pt>
                <c:pt idx="31" formatCode="mmm\-yy">
                  <c:v>44044</c:v>
                </c:pt>
                <c:pt idx="32" formatCode="mmm\-yy">
                  <c:v>44075</c:v>
                </c:pt>
                <c:pt idx="33" formatCode="mmm\-yy">
                  <c:v>44105</c:v>
                </c:pt>
                <c:pt idx="34" formatCode="mmm\-yy">
                  <c:v>44166</c:v>
                </c:pt>
                <c:pt idx="35" formatCode="mmm\-yy">
                  <c:v>44531</c:v>
                </c:pt>
                <c:pt idx="36" formatCode="mmm\-yy">
                  <c:v>44896</c:v>
                </c:pt>
                <c:pt idx="37" formatCode="mmm\-yy">
                  <c:v>45261</c:v>
                </c:pt>
              </c:numCache>
            </c:numRef>
          </c:cat>
          <c:val>
            <c:numRef>
              <c:f>'[2020 - MACROECONÔMICO.xlsx]SELIC'!$C$4:$C$41</c:f>
              <c:numCache>
                <c:formatCode>0.00%</c:formatCode>
                <c:ptCount val="38"/>
                <c:pt idx="0">
                  <c:v>0.1</c:v>
                </c:pt>
                <c:pt idx="1">
                  <c:v>0.11749999999999999</c:v>
                </c:pt>
                <c:pt idx="2">
                  <c:v>0.14249999999999999</c:v>
                </c:pt>
                <c:pt idx="3">
                  <c:v>0.13750000000000001</c:v>
                </c:pt>
                <c:pt idx="4">
                  <c:v>0.13</c:v>
                </c:pt>
                <c:pt idx="5">
                  <c:v>0.1225</c:v>
                </c:pt>
                <c:pt idx="6">
                  <c:v>0.1125</c:v>
                </c:pt>
                <c:pt idx="7">
                  <c:v>0.10249999999999999</c:v>
                </c:pt>
                <c:pt idx="8">
                  <c:v>9.2499999999999999E-2</c:v>
                </c:pt>
                <c:pt idx="9">
                  <c:v>8.2500000000000004E-2</c:v>
                </c:pt>
                <c:pt idx="10">
                  <c:v>7.4999999999999997E-2</c:v>
                </c:pt>
                <c:pt idx="11">
                  <c:v>7.0000000000000007E-2</c:v>
                </c:pt>
                <c:pt idx="12">
                  <c:v>6.6500000000000004E-2</c:v>
                </c:pt>
                <c:pt idx="13">
                  <c:v>6.5000000000000002E-2</c:v>
                </c:pt>
                <c:pt idx="14">
                  <c:v>6.5000000000000002E-2</c:v>
                </c:pt>
                <c:pt idx="15">
                  <c:v>6.5000000000000002E-2</c:v>
                </c:pt>
                <c:pt idx="16">
                  <c:v>6.5000000000000002E-2</c:v>
                </c:pt>
                <c:pt idx="17">
                  <c:v>6.5000000000000002E-2</c:v>
                </c:pt>
                <c:pt idx="18">
                  <c:v>6.5000000000000002E-2</c:v>
                </c:pt>
                <c:pt idx="19">
                  <c:v>6.5000000000000002E-2</c:v>
                </c:pt>
                <c:pt idx="20">
                  <c:v>6.5000000000000002E-2</c:v>
                </c:pt>
                <c:pt idx="21">
                  <c:v>6.5000000000000002E-2</c:v>
                </c:pt>
                <c:pt idx="22">
                  <c:v>6.5000000000000002E-2</c:v>
                </c:pt>
                <c:pt idx="23">
                  <c:v>6.5000000000000002E-2</c:v>
                </c:pt>
                <c:pt idx="24">
                  <c:v>5.5E-2</c:v>
                </c:pt>
                <c:pt idx="25">
                  <c:v>0.05</c:v>
                </c:pt>
                <c:pt idx="26">
                  <c:v>4.4999999999999998E-2</c:v>
                </c:pt>
                <c:pt idx="27">
                  <c:v>4.2500000000000003E-2</c:v>
                </c:pt>
                <c:pt idx="28">
                  <c:v>3.7499999999999999E-2</c:v>
                </c:pt>
                <c:pt idx="29">
                  <c:v>0.03</c:v>
                </c:pt>
                <c:pt idx="30">
                  <c:v>2.2499999999999999E-2</c:v>
                </c:pt>
                <c:pt idx="31">
                  <c:v>0.02</c:v>
                </c:pt>
                <c:pt idx="32">
                  <c:v>0.02</c:v>
                </c:pt>
                <c:pt idx="33">
                  <c:v>0.02</c:v>
                </c:pt>
                <c:pt idx="34">
                  <c:v>0.02</c:v>
                </c:pt>
                <c:pt idx="35">
                  <c:v>2.75E-2</c:v>
                </c:pt>
                <c:pt idx="36">
                  <c:v>4.4999999999999998E-2</c:v>
                </c:pt>
                <c:pt idx="37">
                  <c:v>0.06</c:v>
                </c:pt>
              </c:numCache>
            </c:numRef>
          </c:val>
          <c:smooth val="0"/>
        </c:ser>
        <c:dLbls>
          <c:showLegendKey val="0"/>
          <c:showVal val="0"/>
          <c:showCatName val="0"/>
          <c:showSerName val="0"/>
          <c:showPercent val="0"/>
          <c:showBubbleSize val="0"/>
        </c:dLbls>
        <c:marker val="1"/>
        <c:smooth val="0"/>
        <c:axId val="24297856"/>
        <c:axId val="24299392"/>
      </c:lineChart>
      <c:catAx>
        <c:axId val="24297856"/>
        <c:scaling>
          <c:orientation val="minMax"/>
        </c:scaling>
        <c:delete val="0"/>
        <c:axPos val="b"/>
        <c:numFmt formatCode="General" sourceLinked="1"/>
        <c:majorTickMark val="out"/>
        <c:minorTickMark val="none"/>
        <c:tickLblPos val="nextTo"/>
        <c:txPr>
          <a:bodyPr/>
          <a:lstStyle/>
          <a:p>
            <a:pPr>
              <a:defRPr sz="900" b="1">
                <a:latin typeface="Arial" pitchFamily="34" charset="0"/>
                <a:cs typeface="Arial" pitchFamily="34" charset="0"/>
              </a:defRPr>
            </a:pPr>
            <a:endParaRPr lang="pt-BR"/>
          </a:p>
        </c:txPr>
        <c:crossAx val="24299392"/>
        <c:crosses val="autoZero"/>
        <c:auto val="1"/>
        <c:lblAlgn val="ctr"/>
        <c:lblOffset val="100"/>
        <c:noMultiLvlLbl val="0"/>
      </c:catAx>
      <c:valAx>
        <c:axId val="24299392"/>
        <c:scaling>
          <c:orientation val="minMax"/>
        </c:scaling>
        <c:delete val="0"/>
        <c:axPos val="l"/>
        <c:numFmt formatCode="0%" sourceLinked="0"/>
        <c:majorTickMark val="out"/>
        <c:minorTickMark val="none"/>
        <c:tickLblPos val="none"/>
        <c:spPr>
          <a:ln>
            <a:noFill/>
          </a:ln>
        </c:spPr>
        <c:txPr>
          <a:bodyPr/>
          <a:lstStyle/>
          <a:p>
            <a:pPr>
              <a:defRPr sz="1000" b="1">
                <a:latin typeface="Arial" pitchFamily="34" charset="0"/>
                <a:cs typeface="Arial" pitchFamily="34" charset="0"/>
              </a:defRPr>
            </a:pPr>
            <a:endParaRPr lang="pt-BR"/>
          </a:p>
        </c:txPr>
        <c:crossAx val="24297856"/>
        <c:crosses val="autoZero"/>
        <c:crossBetween val="between"/>
      </c:valAx>
    </c:plotArea>
    <c:plotVisOnly val="1"/>
    <c:dispBlanksAs val="gap"/>
    <c:showDLblsOverMax val="0"/>
  </c:chart>
  <c:spPr>
    <a:solidFill>
      <a:schemeClr val="bg1"/>
    </a:solid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2"/>
          <c:order val="2"/>
          <c:tx>
            <c:strRef>
              <c:f>'[2020 - MACROECONÔMICO.xlsx]IPCA'!$C$5</c:f>
              <c:strCache>
                <c:ptCount val="1"/>
                <c:pt idx="0">
                  <c:v>2019</c:v>
                </c:pt>
              </c:strCache>
            </c:strRef>
          </c:tx>
          <c:spPr>
            <a:solidFill>
              <a:schemeClr val="accent1"/>
            </a:solidFill>
          </c:spPr>
          <c:invertIfNegative val="0"/>
          <c:dLbls>
            <c:dLbl>
              <c:idx val="12"/>
              <c:spPr/>
              <c:txPr>
                <a:bodyPr/>
                <a:lstStyle/>
                <a:p>
                  <a:pPr>
                    <a:defRPr sz="1050" b="1">
                      <a:solidFill>
                        <a:schemeClr val="accent1"/>
                      </a:solidFill>
                      <a:latin typeface="Arial" pitchFamily="34" charset="0"/>
                      <a:cs typeface="Arial" pitchFamily="34" charset="0"/>
                    </a:defRPr>
                  </a:pPr>
                  <a:endParaRPr lang="pt-BR"/>
                </a:p>
              </c:txPr>
              <c:showLegendKey val="0"/>
              <c:showVal val="1"/>
              <c:showCatName val="0"/>
              <c:showSerName val="0"/>
              <c:showPercent val="0"/>
              <c:showBubbleSize val="0"/>
            </c:dLbl>
            <c:spPr>
              <a:noFill/>
              <a:ln>
                <a:noFill/>
              </a:ln>
              <a:effectLst/>
            </c:spPr>
            <c:txPr>
              <a:bodyPr/>
              <a:lstStyle/>
              <a:p>
                <a:pPr>
                  <a:defRPr sz="1050">
                    <a:latin typeface="Arial" pitchFamily="34" charset="0"/>
                    <a:cs typeface="Arial"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'[2020 - MACROECONÔMICO.xlsx]IPCA'!$D$2:$R$2</c:f>
              <c:strCache>
                <c:ptCount val="15"/>
                <c:pt idx="0">
                  <c:v>jan</c:v>
                </c:pt>
                <c:pt idx="1">
                  <c:v>fev</c:v>
                </c:pt>
                <c:pt idx="2">
                  <c:v>mar</c:v>
                </c:pt>
                <c:pt idx="3">
                  <c:v>abr</c:v>
                </c:pt>
                <c:pt idx="4">
                  <c:v>mai</c:v>
                </c:pt>
                <c:pt idx="5">
                  <c:v>jun</c:v>
                </c:pt>
                <c:pt idx="6">
                  <c:v>jul</c:v>
                </c:pt>
                <c:pt idx="7">
                  <c:v>ago</c:v>
                </c:pt>
                <c:pt idx="8">
                  <c:v>set</c:v>
                </c:pt>
                <c:pt idx="9">
                  <c:v>out</c:v>
                </c:pt>
                <c:pt idx="10">
                  <c:v>nov</c:v>
                </c:pt>
                <c:pt idx="11">
                  <c:v>dez</c:v>
                </c:pt>
                <c:pt idx="12">
                  <c:v>YTD 2019</c:v>
                </c:pt>
                <c:pt idx="13">
                  <c:v>YTD 2020</c:v>
                </c:pt>
                <c:pt idx="14">
                  <c:v>Expec. 2021</c:v>
                </c:pt>
              </c:strCache>
            </c:strRef>
          </c:cat>
          <c:val>
            <c:numRef>
              <c:f>'[2020 - MACROECONÔMICO.xlsx]IPCA'!$D$5:$R$5</c:f>
              <c:numCache>
                <c:formatCode>General</c:formatCode>
                <c:ptCount val="15"/>
                <c:pt idx="12" formatCode="0.00%">
                  <c:v>2.596913904301279E-2</c:v>
                </c:pt>
              </c:numCache>
            </c:numRef>
          </c:val>
        </c:ser>
        <c:ser>
          <c:idx val="3"/>
          <c:order val="3"/>
          <c:tx>
            <c:strRef>
              <c:f>'[2020 - MACROECONÔMICO.xlsx]IPCA'!$C$6</c:f>
              <c:strCache>
                <c:ptCount val="1"/>
                <c:pt idx="0">
                  <c:v>YTD 2020</c:v>
                </c:pt>
              </c:strCache>
            </c:strRef>
          </c:tx>
          <c:spPr>
            <a:solidFill>
              <a:schemeClr val="accent2"/>
            </a:solidFill>
          </c:spPr>
          <c:invertIfNegative val="0"/>
          <c:dPt>
            <c:idx val="13"/>
            <c:invertIfNegative val="0"/>
            <c:bubble3D val="0"/>
            <c:spPr>
              <a:solidFill>
                <a:srgbClr val="C00000"/>
              </a:solidFill>
            </c:spPr>
          </c:dPt>
          <c:dPt>
            <c:idx val="14"/>
            <c:invertIfNegative val="0"/>
            <c:bubble3D val="0"/>
            <c:spPr>
              <a:solidFill>
                <a:schemeClr val="accent3"/>
              </a:solidFill>
            </c:spPr>
          </c:dPt>
          <c:dLbls>
            <c:dLbl>
              <c:idx val="13"/>
              <c:spPr/>
              <c:txPr>
                <a:bodyPr/>
                <a:lstStyle/>
                <a:p>
                  <a:pPr>
                    <a:defRPr sz="1050" b="1">
                      <a:solidFill>
                        <a:srgbClr val="C00000"/>
                      </a:solidFill>
                      <a:latin typeface="Arial" pitchFamily="34" charset="0"/>
                      <a:cs typeface="Arial" pitchFamily="34" charset="0"/>
                    </a:defRPr>
                  </a:pPr>
                  <a:endParaRPr lang="pt-BR"/>
                </a:p>
              </c:txPr>
              <c:dLblPos val="outEnd"/>
              <c:showLegendKey val="0"/>
              <c:showVal val="1"/>
              <c:showCatName val="0"/>
              <c:showSerName val="0"/>
              <c:showPercent val="0"/>
              <c:showBubbleSize val="0"/>
            </c:dLbl>
            <c:dLbl>
              <c:idx val="14"/>
              <c:spPr/>
              <c:txPr>
                <a:bodyPr/>
                <a:lstStyle/>
                <a:p>
                  <a:pPr>
                    <a:defRPr sz="1050" b="1">
                      <a:solidFill>
                        <a:schemeClr val="accent3">
                          <a:lumMod val="75000"/>
                        </a:schemeClr>
                      </a:solidFill>
                      <a:latin typeface="Arial" pitchFamily="34" charset="0"/>
                      <a:cs typeface="Arial" pitchFamily="34" charset="0"/>
                    </a:defRPr>
                  </a:pPr>
                  <a:endParaRPr lang="pt-BR"/>
                </a:p>
              </c:txPr>
              <c:dLblPos val="outEnd"/>
              <c:showLegendKey val="0"/>
              <c:showVal val="1"/>
              <c:showCatName val="0"/>
              <c:showSerName val="0"/>
              <c:showPercent val="0"/>
              <c:showBubbleSize val="0"/>
            </c:dLbl>
            <c:dLbl>
              <c:idx val="15"/>
              <c:spPr/>
              <c:txPr>
                <a:bodyPr/>
                <a:lstStyle/>
                <a:p>
                  <a:pPr>
                    <a:defRPr sz="1050" b="1">
                      <a:solidFill>
                        <a:schemeClr val="accent6">
                          <a:lumMod val="75000"/>
                        </a:schemeClr>
                      </a:solidFill>
                      <a:latin typeface="Arial" pitchFamily="34" charset="0"/>
                      <a:cs typeface="Arial" pitchFamily="34" charset="0"/>
                    </a:defRPr>
                  </a:pPr>
                  <a:endParaRPr lang="pt-BR"/>
                </a:p>
              </c:txPr>
              <c:dLblPos val="outEnd"/>
              <c:showLegendKey val="0"/>
              <c:showVal val="1"/>
              <c:showCatName val="0"/>
              <c:showSerName val="0"/>
              <c:showPercent val="0"/>
              <c:showBubbleSize val="0"/>
            </c:dLbl>
            <c:spPr>
              <a:noFill/>
              <a:ln>
                <a:noFill/>
              </a:ln>
              <a:effectLst/>
            </c:spPr>
            <c:txPr>
              <a:bodyPr/>
              <a:lstStyle/>
              <a:p>
                <a:pPr>
                  <a:defRPr sz="1050">
                    <a:latin typeface="Arial" pitchFamily="34" charset="0"/>
                    <a:cs typeface="Arial" pitchFamily="34"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'[2020 - MACROECONÔMICO.xlsx]IPCA'!$D$2:$R$2</c:f>
              <c:strCache>
                <c:ptCount val="15"/>
                <c:pt idx="0">
                  <c:v>jan</c:v>
                </c:pt>
                <c:pt idx="1">
                  <c:v>fev</c:v>
                </c:pt>
                <c:pt idx="2">
                  <c:v>mar</c:v>
                </c:pt>
                <c:pt idx="3">
                  <c:v>abr</c:v>
                </c:pt>
                <c:pt idx="4">
                  <c:v>mai</c:v>
                </c:pt>
                <c:pt idx="5">
                  <c:v>jun</c:v>
                </c:pt>
                <c:pt idx="6">
                  <c:v>jul</c:v>
                </c:pt>
                <c:pt idx="7">
                  <c:v>ago</c:v>
                </c:pt>
                <c:pt idx="8">
                  <c:v>set</c:v>
                </c:pt>
                <c:pt idx="9">
                  <c:v>out</c:v>
                </c:pt>
                <c:pt idx="10">
                  <c:v>nov</c:v>
                </c:pt>
                <c:pt idx="11">
                  <c:v>dez</c:v>
                </c:pt>
                <c:pt idx="12">
                  <c:v>YTD 2019</c:v>
                </c:pt>
                <c:pt idx="13">
                  <c:v>YTD 2020</c:v>
                </c:pt>
                <c:pt idx="14">
                  <c:v>Expec. 2021</c:v>
                </c:pt>
              </c:strCache>
            </c:strRef>
          </c:cat>
          <c:val>
            <c:numRef>
              <c:f>'[2020 - MACROECONÔMICO.xlsx]IPCA'!$D$6:$R$6</c:f>
              <c:numCache>
                <c:formatCode>General</c:formatCode>
                <c:ptCount val="15"/>
                <c:pt idx="13" formatCode="0.00%">
                  <c:v>2.1951658059736756E-2</c:v>
                </c:pt>
                <c:pt idx="14" formatCode="0.00%">
                  <c:v>3.1699999999999999E-2</c:v>
                </c:pt>
              </c:numCache>
            </c:numRef>
          </c:val>
        </c:ser>
        <c:dLbls>
          <c:showLegendKey val="0"/>
          <c:showVal val="0"/>
          <c:showCatName val="0"/>
          <c:showSerName val="0"/>
          <c:showPercent val="0"/>
          <c:showBubbleSize val="0"/>
        </c:dLbls>
        <c:gapWidth val="42"/>
        <c:overlap val="100"/>
        <c:axId val="25041152"/>
        <c:axId val="25059328"/>
      </c:barChart>
      <c:barChart>
        <c:barDir val="col"/>
        <c:grouping val="clustered"/>
        <c:varyColors val="0"/>
        <c:ser>
          <c:idx val="4"/>
          <c:order val="4"/>
          <c:tx>
            <c:strRef>
              <c:f>'[2020 - MACROECONÔMICO.xlsx]IPCA'!$C$7</c:f>
              <c:strCache>
                <c:ptCount val="1"/>
                <c:pt idx="0">
                  <c:v>Expec.2019</c:v>
                </c:pt>
              </c:strCache>
            </c:strRef>
          </c:tx>
          <c:spPr>
            <a:solidFill>
              <a:schemeClr val="accent3"/>
            </a:solidFill>
          </c:spPr>
          <c:invertIfNegative val="0"/>
          <c:val>
            <c:numRef>
              <c:f>'[2020 - MACROECONÔMICO.xlsx]IPCA'!$D$7:$R$7</c:f>
              <c:numCache>
                <c:formatCode>General</c:formatCode>
                <c:ptCount val="15"/>
              </c:numCache>
            </c:numRef>
          </c:val>
        </c:ser>
        <c:dLbls>
          <c:showLegendKey val="0"/>
          <c:showVal val="0"/>
          <c:showCatName val="0"/>
          <c:showSerName val="0"/>
          <c:showPercent val="0"/>
          <c:showBubbleSize val="0"/>
        </c:dLbls>
        <c:gapWidth val="150"/>
        <c:axId val="25062400"/>
        <c:axId val="25060864"/>
      </c:barChart>
      <c:lineChart>
        <c:grouping val="standard"/>
        <c:varyColors val="0"/>
        <c:ser>
          <c:idx val="0"/>
          <c:order val="0"/>
          <c:tx>
            <c:strRef>
              <c:f>'[2020 - MACROECONÔMICO.xlsx]IPCA'!$C$3</c:f>
              <c:strCache>
                <c:ptCount val="1"/>
                <c:pt idx="0">
                  <c:v>2019</c:v>
                </c:pt>
              </c:strCache>
            </c:strRef>
          </c:tx>
          <c:marker>
            <c:symbol val="none"/>
          </c:marker>
          <c:cat>
            <c:strRef>
              <c:f>'[2020 - MACROECONÔMICO.xlsx]IPCA'!$D$2:$R$2</c:f>
              <c:strCache>
                <c:ptCount val="15"/>
                <c:pt idx="0">
                  <c:v>jan</c:v>
                </c:pt>
                <c:pt idx="1">
                  <c:v>fev</c:v>
                </c:pt>
                <c:pt idx="2">
                  <c:v>mar</c:v>
                </c:pt>
                <c:pt idx="3">
                  <c:v>abr</c:v>
                </c:pt>
                <c:pt idx="4">
                  <c:v>mai</c:v>
                </c:pt>
                <c:pt idx="5">
                  <c:v>jun</c:v>
                </c:pt>
                <c:pt idx="6">
                  <c:v>jul</c:v>
                </c:pt>
                <c:pt idx="7">
                  <c:v>ago</c:v>
                </c:pt>
                <c:pt idx="8">
                  <c:v>set</c:v>
                </c:pt>
                <c:pt idx="9">
                  <c:v>out</c:v>
                </c:pt>
                <c:pt idx="10">
                  <c:v>nov</c:v>
                </c:pt>
                <c:pt idx="11">
                  <c:v>dez</c:v>
                </c:pt>
                <c:pt idx="12">
                  <c:v>YTD 2019</c:v>
                </c:pt>
                <c:pt idx="13">
                  <c:v>YTD 2020</c:v>
                </c:pt>
                <c:pt idx="14">
                  <c:v>Expec. 2021</c:v>
                </c:pt>
              </c:strCache>
            </c:strRef>
          </c:cat>
          <c:val>
            <c:numRef>
              <c:f>'[2020 - MACROECONÔMICO.xlsx]IPCA'!$D$3:$O$3</c:f>
              <c:numCache>
                <c:formatCode>0.00%</c:formatCode>
                <c:ptCount val="12"/>
                <c:pt idx="0">
                  <c:v>3.2000000000000002E-3</c:v>
                </c:pt>
                <c:pt idx="1">
                  <c:v>4.3E-3</c:v>
                </c:pt>
                <c:pt idx="2">
                  <c:v>7.4999999999999997E-3</c:v>
                </c:pt>
                <c:pt idx="3">
                  <c:v>5.7000000000000002E-3</c:v>
                </c:pt>
                <c:pt idx="4">
                  <c:v>1.2999999999999999E-3</c:v>
                </c:pt>
                <c:pt idx="5">
                  <c:v>1E-4</c:v>
                </c:pt>
                <c:pt idx="6">
                  <c:v>1.9E-3</c:v>
                </c:pt>
                <c:pt idx="7">
                  <c:v>1.1000000000000001E-3</c:v>
                </c:pt>
                <c:pt idx="8">
                  <c:v>-4.0000000000000002E-4</c:v>
                </c:pt>
                <c:pt idx="9">
                  <c:v>1E-3</c:v>
                </c:pt>
                <c:pt idx="10">
                  <c:v>5.1000000000000004E-3</c:v>
                </c:pt>
                <c:pt idx="11">
                  <c:v>1.15E-2</c:v>
                </c:pt>
              </c:numCache>
            </c:numRef>
          </c:val>
          <c:smooth val="1"/>
        </c:ser>
        <c:ser>
          <c:idx val="1"/>
          <c:order val="1"/>
          <c:tx>
            <c:strRef>
              <c:f>'[2020 - MACROECONÔMICO.xlsx]IPCA'!$C$4</c:f>
              <c:strCache>
                <c:ptCount val="1"/>
                <c:pt idx="0">
                  <c:v>2020</c:v>
                </c:pt>
              </c:strCache>
            </c:strRef>
          </c:tx>
          <c:spPr>
            <a:ln>
              <a:solidFill>
                <a:srgbClr val="C00000"/>
              </a:solidFill>
            </a:ln>
          </c:spPr>
          <c:marker>
            <c:symbol val="diamond"/>
            <c:size val="7"/>
            <c:spPr>
              <a:solidFill>
                <a:srgbClr val="C00000"/>
              </a:solidFill>
              <a:ln>
                <a:solidFill>
                  <a:srgbClr val="C00000"/>
                </a:solidFill>
              </a:ln>
            </c:spPr>
          </c:marker>
          <c:dPt>
            <c:idx val="6"/>
            <c:bubble3D val="0"/>
            <c:spPr>
              <a:ln>
                <a:solidFill>
                  <a:srgbClr val="C00000"/>
                </a:solidFill>
                <a:prstDash val="solid"/>
              </a:ln>
            </c:spPr>
          </c:dPt>
          <c:dPt>
            <c:idx val="10"/>
            <c:bubble3D val="0"/>
            <c:spPr>
              <a:ln>
                <a:solidFill>
                  <a:srgbClr val="C00000"/>
                </a:solidFill>
                <a:prstDash val="solid"/>
              </a:ln>
            </c:spPr>
          </c:dPt>
          <c:dLbls>
            <c:dLbl>
              <c:idx val="2"/>
              <c:layout>
                <c:manualLayout>
                  <c:x val="-4.8378684679947666E-2"/>
                  <c:y val="5.70295243584862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984839303665785E-2"/>
                  <c:y val="4.747284875720564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1983356868253876E-2"/>
                  <c:y val="4.110173168968534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5.9852523102231645E-2"/>
                  <c:y val="-4.747284875720576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6904846257663694E-2"/>
                  <c:y val="-4.747284875720576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8.4421121619982929E-4"/>
                  <c:y val="1.88028219533643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1656924229171661E-2"/>
                  <c:y val="-4.809390725559867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4.3461325356111677E-2"/>
                  <c:y val="-3.8537231654318264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50" b="1">
                    <a:solidFill>
                      <a:srgbClr val="C00000"/>
                    </a:solidFill>
                    <a:latin typeface="Arial" pitchFamily="34" charset="0"/>
                    <a:cs typeface="Arial" pitchFamily="34" charset="0"/>
                  </a:defRPr>
                </a:pPr>
                <a:endParaRPr lang="pt-BR"/>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'[2020 - MACROECONÔMICO.xlsx]IPCA'!$D$2:$R$2</c:f>
              <c:strCache>
                <c:ptCount val="15"/>
                <c:pt idx="0">
                  <c:v>jan</c:v>
                </c:pt>
                <c:pt idx="1">
                  <c:v>fev</c:v>
                </c:pt>
                <c:pt idx="2">
                  <c:v>mar</c:v>
                </c:pt>
                <c:pt idx="3">
                  <c:v>abr</c:v>
                </c:pt>
                <c:pt idx="4">
                  <c:v>mai</c:v>
                </c:pt>
                <c:pt idx="5">
                  <c:v>jun</c:v>
                </c:pt>
                <c:pt idx="6">
                  <c:v>jul</c:v>
                </c:pt>
                <c:pt idx="7">
                  <c:v>ago</c:v>
                </c:pt>
                <c:pt idx="8">
                  <c:v>set</c:v>
                </c:pt>
                <c:pt idx="9">
                  <c:v>out</c:v>
                </c:pt>
                <c:pt idx="10">
                  <c:v>nov</c:v>
                </c:pt>
                <c:pt idx="11">
                  <c:v>dez</c:v>
                </c:pt>
                <c:pt idx="12">
                  <c:v>YTD 2019</c:v>
                </c:pt>
                <c:pt idx="13">
                  <c:v>YTD 2020</c:v>
                </c:pt>
                <c:pt idx="14">
                  <c:v>Expec. 2021</c:v>
                </c:pt>
              </c:strCache>
            </c:strRef>
          </c:cat>
          <c:val>
            <c:numRef>
              <c:f>'[2020 - MACROECONÔMICO.xlsx]IPCA'!$D$4:$R$4</c:f>
              <c:numCache>
                <c:formatCode>0.00%</c:formatCode>
                <c:ptCount val="15"/>
                <c:pt idx="0">
                  <c:v>2.0999999999999999E-3</c:v>
                </c:pt>
                <c:pt idx="1">
                  <c:v>2.5000000000000001E-3</c:v>
                </c:pt>
                <c:pt idx="2">
                  <c:v>6.9999999999999999E-4</c:v>
                </c:pt>
                <c:pt idx="3">
                  <c:v>-3.0999999999999999E-3</c:v>
                </c:pt>
                <c:pt idx="4">
                  <c:v>-3.8E-3</c:v>
                </c:pt>
                <c:pt idx="5">
                  <c:v>2.5999999999999999E-3</c:v>
                </c:pt>
                <c:pt idx="6">
                  <c:v>3.5999999999999999E-3</c:v>
                </c:pt>
                <c:pt idx="7">
                  <c:v>2.3999999999999998E-3</c:v>
                </c:pt>
                <c:pt idx="8">
                  <c:v>6.4000000000000003E-3</c:v>
                </c:pt>
                <c:pt idx="9">
                  <c:v>8.3999999999999995E-3</c:v>
                </c:pt>
              </c:numCache>
            </c:numRef>
          </c:val>
          <c:smooth val="1"/>
        </c:ser>
        <c:dLbls>
          <c:showLegendKey val="0"/>
          <c:showVal val="0"/>
          <c:showCatName val="0"/>
          <c:showSerName val="0"/>
          <c:showPercent val="0"/>
          <c:showBubbleSize val="0"/>
        </c:dLbls>
        <c:marker val="1"/>
        <c:smooth val="0"/>
        <c:axId val="25062400"/>
        <c:axId val="25060864"/>
      </c:lineChart>
      <c:catAx>
        <c:axId val="25041152"/>
        <c:scaling>
          <c:orientation val="minMax"/>
        </c:scaling>
        <c:delete val="0"/>
        <c:axPos val="b"/>
        <c:numFmt formatCode="General" sourceLinked="0"/>
        <c:majorTickMark val="out"/>
        <c:minorTickMark val="none"/>
        <c:tickLblPos val="low"/>
        <c:txPr>
          <a:bodyPr anchor="b" anchorCtr="0"/>
          <a:lstStyle/>
          <a:p>
            <a:pPr>
              <a:defRPr sz="1050" b="1">
                <a:latin typeface="Arial" pitchFamily="34" charset="0"/>
                <a:cs typeface="Arial" pitchFamily="34" charset="0"/>
              </a:defRPr>
            </a:pPr>
            <a:endParaRPr lang="pt-BR"/>
          </a:p>
        </c:txPr>
        <c:crossAx val="25059328"/>
        <c:crosses val="autoZero"/>
        <c:auto val="1"/>
        <c:lblAlgn val="ctr"/>
        <c:lblOffset val="100"/>
        <c:noMultiLvlLbl val="0"/>
      </c:catAx>
      <c:valAx>
        <c:axId val="25059328"/>
        <c:scaling>
          <c:orientation val="minMax"/>
          <c:max val="4.5000000000000012E-2"/>
        </c:scaling>
        <c:delete val="0"/>
        <c:axPos val="l"/>
        <c:numFmt formatCode="0%" sourceLinked="0"/>
        <c:majorTickMark val="out"/>
        <c:minorTickMark val="none"/>
        <c:tickLblPos val="none"/>
        <c:spPr>
          <a:ln>
            <a:noFill/>
          </a:ln>
        </c:spPr>
        <c:txPr>
          <a:bodyPr/>
          <a:lstStyle/>
          <a:p>
            <a:pPr>
              <a:defRPr sz="900" b="1">
                <a:latin typeface="Arial" pitchFamily="34" charset="0"/>
                <a:cs typeface="Arial" pitchFamily="34" charset="0"/>
              </a:defRPr>
            </a:pPr>
            <a:endParaRPr lang="pt-BR"/>
          </a:p>
        </c:txPr>
        <c:crossAx val="25041152"/>
        <c:crosses val="autoZero"/>
        <c:crossBetween val="between"/>
      </c:valAx>
      <c:valAx>
        <c:axId val="25060864"/>
        <c:scaling>
          <c:orientation val="minMax"/>
          <c:max val="1.4000000000000002E-2"/>
        </c:scaling>
        <c:delete val="0"/>
        <c:axPos val="r"/>
        <c:numFmt formatCode="General" sourceLinked="1"/>
        <c:majorTickMark val="out"/>
        <c:minorTickMark val="none"/>
        <c:tickLblPos val="none"/>
        <c:spPr>
          <a:ln>
            <a:noFill/>
          </a:ln>
        </c:spPr>
        <c:txPr>
          <a:bodyPr/>
          <a:lstStyle/>
          <a:p>
            <a:pPr>
              <a:defRPr sz="900" b="1">
                <a:latin typeface="Arial" pitchFamily="34" charset="0"/>
                <a:cs typeface="Arial" pitchFamily="34" charset="0"/>
              </a:defRPr>
            </a:pPr>
            <a:endParaRPr lang="pt-BR"/>
          </a:p>
        </c:txPr>
        <c:crossAx val="25062400"/>
        <c:crosses val="max"/>
        <c:crossBetween val="between"/>
      </c:valAx>
      <c:catAx>
        <c:axId val="25062400"/>
        <c:scaling>
          <c:orientation val="minMax"/>
        </c:scaling>
        <c:delete val="1"/>
        <c:axPos val="b"/>
        <c:majorTickMark val="out"/>
        <c:minorTickMark val="none"/>
        <c:tickLblPos val="none"/>
        <c:crossAx val="25060864"/>
        <c:crosses val="autoZero"/>
        <c:auto val="1"/>
        <c:lblAlgn val="ctr"/>
        <c:lblOffset val="100"/>
        <c:noMultiLvlLbl val="0"/>
      </c:catAx>
    </c:plotArea>
    <c:legend>
      <c:legendPos val="b"/>
      <c:overlay val="0"/>
      <c:txPr>
        <a:bodyPr/>
        <a:lstStyle/>
        <a:p>
          <a:pPr>
            <a:defRPr sz="1050" b="1">
              <a:latin typeface="Arial" pitchFamily="34" charset="0"/>
              <a:cs typeface="Arial" pitchFamily="34" charset="0"/>
            </a:defRPr>
          </a:pPr>
          <a:endParaRPr lang="pt-BR"/>
        </a:p>
      </c:txPr>
    </c:legend>
    <c:plotVisOnly val="1"/>
    <c:dispBlanksAs val="gap"/>
    <c:showDLblsOverMax val="0"/>
  </c:chart>
  <c:spPr>
    <a:solidFill>
      <a:schemeClr val="bg1"/>
    </a:solid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1"/>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spPr>
            <a:solidFill>
              <a:schemeClr val="accent6"/>
            </a:solidFill>
          </c:spPr>
          <c:invertIfNegative val="0"/>
          <c:dPt>
            <c:idx val="3"/>
            <c:invertIfNegative val="0"/>
            <c:bubble3D val="0"/>
          </c:dPt>
          <c:dPt>
            <c:idx val="4"/>
            <c:invertIfNegative val="0"/>
            <c:bubble3D val="0"/>
            <c:spPr>
              <a:solidFill>
                <a:srgbClr val="C00000"/>
              </a:solidFill>
            </c:spPr>
          </c:dPt>
          <c:dPt>
            <c:idx val="5"/>
            <c:invertIfNegative val="0"/>
            <c:bubble3D val="0"/>
            <c:spPr>
              <a:solidFill>
                <a:srgbClr val="C00000"/>
              </a:solidFill>
            </c:spPr>
          </c:dPt>
          <c:dPt>
            <c:idx val="6"/>
            <c:invertIfNegative val="0"/>
            <c:bubble3D val="0"/>
            <c:spPr>
              <a:solidFill>
                <a:srgbClr val="C00000"/>
              </a:solidFill>
            </c:spPr>
          </c:dPt>
          <c:dLbls>
            <c:dLbl>
              <c:idx val="3"/>
              <c:spPr/>
              <c:txPr>
                <a:bodyPr/>
                <a:lstStyle/>
                <a:p>
                  <a:pPr>
                    <a:defRPr sz="1000" b="1">
                      <a:solidFill>
                        <a:schemeClr val="accent6">
                          <a:lumMod val="75000"/>
                        </a:schemeClr>
                      </a:solidFill>
                      <a:latin typeface="Arial" pitchFamily="34" charset="0"/>
                      <a:cs typeface="Arial" pitchFamily="34" charset="0"/>
                    </a:defRPr>
                  </a:pPr>
                  <a:endParaRPr lang="pt-BR"/>
                </a:p>
              </c:txPr>
              <c:dLblPos val="outEnd"/>
              <c:showLegendKey val="0"/>
              <c:showVal val="1"/>
              <c:showCatName val="0"/>
              <c:showSerName val="0"/>
              <c:showPercent val="0"/>
              <c:showBubbleSize val="0"/>
            </c:dLbl>
            <c:dLbl>
              <c:idx val="4"/>
              <c:spPr/>
              <c:txPr>
                <a:bodyPr/>
                <a:lstStyle/>
                <a:p>
                  <a:pPr>
                    <a:defRPr sz="1000" b="1">
                      <a:solidFill>
                        <a:srgbClr val="C00000"/>
                      </a:solidFill>
                      <a:latin typeface="Arial" pitchFamily="34" charset="0"/>
                      <a:cs typeface="Arial" pitchFamily="34" charset="0"/>
                    </a:defRPr>
                  </a:pPr>
                  <a:endParaRPr lang="pt-BR"/>
                </a:p>
              </c:txPr>
              <c:dLblPos val="outEnd"/>
              <c:showLegendKey val="0"/>
              <c:showVal val="1"/>
              <c:showCatName val="0"/>
              <c:showSerName val="0"/>
              <c:showPercent val="0"/>
              <c:showBubbleSize val="0"/>
            </c:dLbl>
            <c:dLbl>
              <c:idx val="5"/>
              <c:spPr/>
              <c:txPr>
                <a:bodyPr/>
                <a:lstStyle/>
                <a:p>
                  <a:pPr>
                    <a:defRPr sz="1000" b="1">
                      <a:solidFill>
                        <a:srgbClr val="C00000"/>
                      </a:solidFill>
                      <a:latin typeface="Arial" pitchFamily="34" charset="0"/>
                      <a:cs typeface="Arial" pitchFamily="34" charset="0"/>
                    </a:defRPr>
                  </a:pPr>
                  <a:endParaRPr lang="pt-BR"/>
                </a:p>
              </c:txPr>
              <c:dLblPos val="outEnd"/>
              <c:showLegendKey val="0"/>
              <c:showVal val="1"/>
              <c:showCatName val="0"/>
              <c:showSerName val="0"/>
              <c:showPercent val="0"/>
              <c:showBubbleSize val="0"/>
            </c:dLbl>
            <c:dLbl>
              <c:idx val="6"/>
              <c:spPr>
                <a:noFill/>
                <a:ln>
                  <a:noFill/>
                </a:ln>
                <a:effectLst/>
              </c:spPr>
              <c:txPr>
                <a:bodyPr/>
                <a:lstStyle/>
                <a:p>
                  <a:pPr>
                    <a:defRPr sz="1000" b="1">
                      <a:solidFill>
                        <a:srgbClr val="C00000"/>
                      </a:solidFill>
                      <a:latin typeface="Arial" pitchFamily="34" charset="0"/>
                      <a:cs typeface="Arial" pitchFamily="34" charset="0"/>
                    </a:defRPr>
                  </a:pPr>
                  <a:endParaRPr lang="pt-BR"/>
                </a:p>
              </c:txPr>
              <c:dLblPos val="outEnd"/>
              <c:showLegendKey val="0"/>
              <c:showVal val="1"/>
              <c:showCatName val="0"/>
              <c:showSerName val="0"/>
              <c:showPercent val="0"/>
              <c:showBubbleSize val="0"/>
            </c:dLbl>
            <c:spPr>
              <a:noFill/>
              <a:ln>
                <a:noFill/>
              </a:ln>
              <a:effectLst/>
            </c:spPr>
            <c:txPr>
              <a:bodyPr/>
              <a:lstStyle/>
              <a:p>
                <a:pPr>
                  <a:defRPr sz="1000" b="1">
                    <a:solidFill>
                      <a:schemeClr val="accent6">
                        <a:lumMod val="75000"/>
                      </a:schemeClr>
                    </a:solidFill>
                    <a:latin typeface="Arial" pitchFamily="34" charset="0"/>
                    <a:cs typeface="Arial" pitchFamily="34"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'[2020 - MACROECONÔMICO.xlsx]PIB'!$A$11:$A$18</c:f>
              <c:strCache>
                <c:ptCount val="8"/>
                <c:pt idx="0">
                  <c:v>1º tri/2019</c:v>
                </c:pt>
                <c:pt idx="1">
                  <c:v>2º tri/2019</c:v>
                </c:pt>
                <c:pt idx="2">
                  <c:v>3º tri/2019</c:v>
                </c:pt>
                <c:pt idx="3">
                  <c:v>4º tri/2019</c:v>
                </c:pt>
                <c:pt idx="4">
                  <c:v>1º tri/2020</c:v>
                </c:pt>
                <c:pt idx="5">
                  <c:v>2º tri/2020</c:v>
                </c:pt>
                <c:pt idx="6">
                  <c:v>Proj 2020</c:v>
                </c:pt>
                <c:pt idx="7">
                  <c:v>Proj 2021</c:v>
                </c:pt>
              </c:strCache>
            </c:strRef>
          </c:cat>
          <c:val>
            <c:numRef>
              <c:f>'[2020 - MACROECONÔMICO.xlsx]PIB'!$B$11:$B$18</c:f>
              <c:numCache>
                <c:formatCode>0.00%</c:formatCode>
                <c:ptCount val="8"/>
                <c:pt idx="0">
                  <c:v>6.0000000000000001E-3</c:v>
                </c:pt>
                <c:pt idx="1">
                  <c:v>1.0999999999999999E-2</c:v>
                </c:pt>
                <c:pt idx="2">
                  <c:v>1.2E-2</c:v>
                </c:pt>
                <c:pt idx="3">
                  <c:v>1.7000000000000001E-2</c:v>
                </c:pt>
                <c:pt idx="4">
                  <c:v>-3.0000000000000001E-3</c:v>
                </c:pt>
                <c:pt idx="5">
                  <c:v>-0.114</c:v>
                </c:pt>
                <c:pt idx="6">
                  <c:v>-4.8099999999999997E-2</c:v>
                </c:pt>
                <c:pt idx="7">
                  <c:v>3.3399999999999999E-2</c:v>
                </c:pt>
              </c:numCache>
            </c:numRef>
          </c:val>
        </c:ser>
        <c:dLbls>
          <c:showLegendKey val="0"/>
          <c:showVal val="1"/>
          <c:showCatName val="0"/>
          <c:showSerName val="0"/>
          <c:showPercent val="0"/>
          <c:showBubbleSize val="0"/>
        </c:dLbls>
        <c:gapWidth val="75"/>
        <c:axId val="25196416"/>
        <c:axId val="25197952"/>
      </c:barChart>
      <c:catAx>
        <c:axId val="25196416"/>
        <c:scaling>
          <c:orientation val="minMax"/>
        </c:scaling>
        <c:delete val="0"/>
        <c:axPos val="b"/>
        <c:numFmt formatCode="General" sourceLinked="0"/>
        <c:majorTickMark val="none"/>
        <c:minorTickMark val="none"/>
        <c:tickLblPos val="low"/>
        <c:txPr>
          <a:bodyPr/>
          <a:lstStyle/>
          <a:p>
            <a:pPr>
              <a:defRPr sz="1000" b="1">
                <a:latin typeface="Arial" pitchFamily="34" charset="0"/>
                <a:cs typeface="Arial" pitchFamily="34" charset="0"/>
              </a:defRPr>
            </a:pPr>
            <a:endParaRPr lang="pt-BR"/>
          </a:p>
        </c:txPr>
        <c:crossAx val="25197952"/>
        <c:crosses val="autoZero"/>
        <c:auto val="1"/>
        <c:lblAlgn val="ctr"/>
        <c:lblOffset val="100"/>
        <c:noMultiLvlLbl val="0"/>
      </c:catAx>
      <c:valAx>
        <c:axId val="25197952"/>
        <c:scaling>
          <c:orientation val="minMax"/>
        </c:scaling>
        <c:delete val="0"/>
        <c:axPos val="l"/>
        <c:numFmt formatCode="0.00%" sourceLinked="1"/>
        <c:majorTickMark val="none"/>
        <c:minorTickMark val="none"/>
        <c:tickLblPos val="none"/>
        <c:spPr>
          <a:ln>
            <a:noFill/>
          </a:ln>
        </c:spPr>
        <c:txPr>
          <a:bodyPr/>
          <a:lstStyle/>
          <a:p>
            <a:pPr>
              <a:defRPr sz="900" b="1">
                <a:latin typeface="Arial" pitchFamily="34" charset="0"/>
                <a:cs typeface="Arial" pitchFamily="34" charset="0"/>
              </a:defRPr>
            </a:pPr>
            <a:endParaRPr lang="pt-BR"/>
          </a:p>
        </c:txPr>
        <c:crossAx val="25196416"/>
        <c:crosses val="autoZero"/>
        <c:crossBetween val="between"/>
      </c:valAx>
    </c:plotArea>
    <c:plotVisOnly val="1"/>
    <c:dispBlanksAs val="gap"/>
    <c:showDLblsOverMax val="0"/>
  </c:chart>
  <c:spPr>
    <a:solidFill>
      <a:schemeClr val="bg1"/>
    </a:solidFill>
    <a:ln>
      <a:noFill/>
    </a:ln>
  </c:sp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F5665-6731-4DFC-9490-02EB0B2D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OF CUIABÁ PREV (1)</Template>
  <TotalTime>2</TotalTime>
  <Pages>23</Pages>
  <Words>5931</Words>
  <Characters>32028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Glauber  Vacarias Penha</dc:creator>
  <cp:lastModifiedBy>Núblia</cp:lastModifiedBy>
  <cp:revision>4</cp:revision>
  <cp:lastPrinted>2020-02-19T17:55:00Z</cp:lastPrinted>
  <dcterms:created xsi:type="dcterms:W3CDTF">2020-12-10T10:02:00Z</dcterms:created>
  <dcterms:modified xsi:type="dcterms:W3CDTF">2020-12-10T10:04:00Z</dcterms:modified>
</cp:coreProperties>
</file>